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DC" w:rsidRDefault="001130DC" w:rsidP="001130DC">
      <w:pPr>
        <w:ind w:right="1"/>
        <w:jc w:val="both"/>
        <w:rPr>
          <w:b/>
          <w:i w:val="0"/>
          <w:szCs w:val="24"/>
        </w:rPr>
      </w:pPr>
    </w:p>
    <w:p w:rsidR="00AC5F58" w:rsidRDefault="00AC5F58" w:rsidP="00AC5F58">
      <w:pPr>
        <w:autoSpaceDE w:val="0"/>
        <w:autoSpaceDN w:val="0"/>
        <w:adjustRightInd w:val="0"/>
        <w:rPr>
          <w:rFonts w:ascii="LiberationSerif-Bold" w:eastAsiaTheme="minorHAnsi" w:hAnsi="LiberationSerif-Bold" w:cs="LiberationSerif-Bold"/>
          <w:b/>
          <w:bCs/>
          <w:i w:val="0"/>
          <w:sz w:val="32"/>
          <w:szCs w:val="32"/>
          <w:lang w:eastAsia="en-US"/>
        </w:rPr>
      </w:pPr>
      <w:r>
        <w:rPr>
          <w:rFonts w:ascii="LiberationSerif-Bold" w:eastAsiaTheme="minorHAnsi" w:hAnsi="LiberationSerif-Bold" w:cs="LiberationSerif-Bold"/>
          <w:b/>
          <w:bCs/>
          <w:i w:val="0"/>
          <w:sz w:val="32"/>
          <w:szCs w:val="32"/>
          <w:lang w:eastAsia="en-US"/>
        </w:rPr>
        <w:t>AREA SERVIZI ALLA CITTA'</w:t>
      </w:r>
    </w:p>
    <w:p w:rsidR="00AC5F58" w:rsidRDefault="00AC5F58" w:rsidP="00AC5F58">
      <w:pPr>
        <w:autoSpaceDE w:val="0"/>
        <w:autoSpaceDN w:val="0"/>
        <w:adjustRightInd w:val="0"/>
        <w:rPr>
          <w:rFonts w:ascii="LiberationSerif-Bold" w:eastAsiaTheme="minorHAnsi" w:hAnsi="LiberationSerif-Bold" w:cs="LiberationSerif-Bold"/>
          <w:b/>
          <w:bCs/>
          <w:i w:val="0"/>
          <w:sz w:val="32"/>
          <w:szCs w:val="32"/>
          <w:lang w:eastAsia="en-US"/>
        </w:rPr>
      </w:pPr>
      <w:r>
        <w:rPr>
          <w:rFonts w:ascii="LiberationSerif-Bold" w:eastAsiaTheme="minorHAnsi" w:hAnsi="LiberationSerif-Bold" w:cs="LiberationSerif-Bold"/>
          <w:b/>
          <w:bCs/>
          <w:i w:val="0"/>
          <w:sz w:val="32"/>
          <w:szCs w:val="32"/>
          <w:lang w:eastAsia="en-US"/>
        </w:rPr>
        <w:t>SETTORE SERVIZI ALLA CITTA'</w:t>
      </w:r>
    </w:p>
    <w:p w:rsidR="00AC5F58" w:rsidRDefault="00AC5F58" w:rsidP="00AC5F58">
      <w:pPr>
        <w:autoSpaceDE w:val="0"/>
        <w:autoSpaceDN w:val="0"/>
        <w:adjustRightInd w:val="0"/>
        <w:rPr>
          <w:rFonts w:ascii="LiberationSerif-Bold" w:eastAsiaTheme="minorHAnsi" w:hAnsi="LiberationSerif-Bold" w:cs="LiberationSerif-Bold"/>
          <w:b/>
          <w:bCs/>
          <w:i w:val="0"/>
          <w:sz w:val="32"/>
          <w:szCs w:val="32"/>
          <w:lang w:eastAsia="en-US"/>
        </w:rPr>
      </w:pPr>
      <w:r>
        <w:rPr>
          <w:rFonts w:ascii="LiberationSerif-Bold" w:eastAsiaTheme="minorHAnsi" w:hAnsi="LiberationSerif-Bold" w:cs="LiberationSerif-Bold"/>
          <w:b/>
          <w:bCs/>
          <w:i w:val="0"/>
          <w:sz w:val="32"/>
          <w:szCs w:val="32"/>
          <w:lang w:eastAsia="en-US"/>
        </w:rPr>
        <w:t>DIRIGENTE DI SETTORE/CAPO AREA/RESP. DEL VERDE</w:t>
      </w:r>
    </w:p>
    <w:p w:rsidR="00AC5F58" w:rsidRDefault="00AC5F58" w:rsidP="00AC5F58">
      <w:pPr>
        <w:autoSpaceDE w:val="0"/>
        <w:autoSpaceDN w:val="0"/>
        <w:adjustRightInd w:val="0"/>
        <w:rPr>
          <w:rFonts w:ascii="LiberationSerif-Bold" w:eastAsiaTheme="minorHAnsi" w:hAnsi="LiberationSerif-Bold" w:cs="LiberationSerif-Bold"/>
          <w:b/>
          <w:bCs/>
          <w:i w:val="0"/>
          <w:sz w:val="32"/>
          <w:szCs w:val="32"/>
          <w:lang w:eastAsia="en-US"/>
        </w:rPr>
      </w:pPr>
      <w:r>
        <w:rPr>
          <w:rFonts w:ascii="LiberationSerif-Bold" w:eastAsiaTheme="minorHAnsi" w:hAnsi="LiberationSerif-Bold" w:cs="LiberationSerif-Bold"/>
          <w:b/>
          <w:bCs/>
          <w:i w:val="0"/>
          <w:sz w:val="32"/>
          <w:szCs w:val="32"/>
          <w:lang w:eastAsia="en-US"/>
        </w:rPr>
        <w:t>URBANO, CANTIERE COMUNALE E AUTOPARCO</w:t>
      </w:r>
    </w:p>
    <w:p w:rsidR="00AC5F58" w:rsidRDefault="00AC5F58" w:rsidP="00AC5F58">
      <w:pPr>
        <w:autoSpaceDE w:val="0"/>
        <w:autoSpaceDN w:val="0"/>
        <w:adjustRightInd w:val="0"/>
        <w:rPr>
          <w:rFonts w:ascii="LiberationSerif-Bold" w:eastAsiaTheme="minorHAnsi" w:hAnsi="LiberationSerif-Bold" w:cs="LiberationSerif-Bold"/>
          <w:b/>
          <w:bCs/>
          <w:i w:val="0"/>
          <w:sz w:val="32"/>
          <w:szCs w:val="32"/>
          <w:lang w:eastAsia="en-US"/>
        </w:rPr>
      </w:pPr>
    </w:p>
    <w:p w:rsidR="00AC5F58" w:rsidRDefault="00AC5F58" w:rsidP="00AC5F58">
      <w:pPr>
        <w:autoSpaceDE w:val="0"/>
        <w:autoSpaceDN w:val="0"/>
        <w:adjustRightInd w:val="0"/>
        <w:rPr>
          <w:rFonts w:ascii="LiberationSans-Bold" w:eastAsiaTheme="minorHAnsi" w:hAnsi="LiberationSans-Bold" w:cs="LiberationSans-Bold"/>
          <w:b/>
          <w:bCs/>
          <w:i w:val="0"/>
          <w:szCs w:val="24"/>
          <w:lang w:eastAsia="en-US"/>
        </w:rPr>
      </w:pPr>
      <w:r>
        <w:rPr>
          <w:rFonts w:ascii="LiberationSans" w:eastAsiaTheme="minorHAnsi" w:hAnsi="LiberationSans" w:cs="LiberationSans"/>
          <w:i w:val="0"/>
          <w:szCs w:val="24"/>
          <w:lang w:eastAsia="en-US"/>
        </w:rPr>
        <w:t>Determinazione Dirigenziale n.</w:t>
      </w:r>
      <w:r>
        <w:rPr>
          <w:rFonts w:ascii="LiberationSans-Bold" w:eastAsiaTheme="minorHAnsi" w:hAnsi="LiberationSans-Bold" w:cs="LiberationSans-Bold"/>
          <w:b/>
          <w:bCs/>
          <w:i w:val="0"/>
          <w:szCs w:val="24"/>
          <w:lang w:eastAsia="en-US"/>
        </w:rPr>
        <w:t xml:space="preserve">6953 </w:t>
      </w:r>
      <w:r>
        <w:rPr>
          <w:rFonts w:ascii="LiberationSans" w:eastAsiaTheme="minorHAnsi" w:hAnsi="LiberationSans" w:cs="LiberationSans"/>
          <w:i w:val="0"/>
          <w:szCs w:val="24"/>
          <w:lang w:eastAsia="en-US"/>
        </w:rPr>
        <w:t xml:space="preserve">del </w:t>
      </w:r>
      <w:r>
        <w:rPr>
          <w:rFonts w:ascii="LiberationSans-Bold" w:eastAsiaTheme="minorHAnsi" w:hAnsi="LiberationSans-Bold" w:cs="LiberationSans-Bold"/>
          <w:b/>
          <w:bCs/>
          <w:i w:val="0"/>
          <w:szCs w:val="24"/>
          <w:lang w:eastAsia="en-US"/>
        </w:rPr>
        <w:t>6 giugno 2019</w:t>
      </w:r>
    </w:p>
    <w:p w:rsidR="00AC5F58" w:rsidRDefault="00AC5F58" w:rsidP="00AC5F58">
      <w:pPr>
        <w:autoSpaceDE w:val="0"/>
        <w:autoSpaceDN w:val="0"/>
        <w:adjustRightInd w:val="0"/>
        <w:rPr>
          <w:rFonts w:ascii="LiberationSans-Bold" w:eastAsiaTheme="minorHAnsi" w:hAnsi="LiberationSans-Bold" w:cs="LiberationSans-Bold"/>
          <w:b/>
          <w:bCs/>
          <w:i w:val="0"/>
          <w:szCs w:val="24"/>
          <w:lang w:eastAsia="en-US"/>
        </w:rPr>
      </w:pPr>
    </w:p>
    <w:p w:rsidR="00AC5F58" w:rsidRDefault="00AC5F58" w:rsidP="00AC5F58">
      <w:pPr>
        <w:autoSpaceDE w:val="0"/>
        <w:autoSpaceDN w:val="0"/>
        <w:adjustRightInd w:val="0"/>
        <w:rPr>
          <w:rFonts w:ascii="LiberationSerif-Bold" w:eastAsiaTheme="minorHAnsi" w:hAnsi="LiberationSerif-Bold" w:cs="LiberationSerif-Bold"/>
          <w:b/>
          <w:bCs/>
          <w:i w:val="0"/>
          <w:sz w:val="28"/>
          <w:szCs w:val="28"/>
          <w:lang w:eastAsia="en-US"/>
        </w:rPr>
      </w:pPr>
      <w:bookmarkStart w:id="0" w:name="_GoBack"/>
      <w:bookmarkEnd w:id="0"/>
    </w:p>
    <w:p w:rsidR="00AC5F58" w:rsidRDefault="00AC5F58" w:rsidP="00AC5F58">
      <w:pPr>
        <w:autoSpaceDE w:val="0"/>
        <w:autoSpaceDN w:val="0"/>
        <w:adjustRightInd w:val="0"/>
        <w:rPr>
          <w:rFonts w:ascii="LiberationSans" w:eastAsiaTheme="minorHAnsi" w:hAnsi="LiberationSans" w:cs="LiberationSans"/>
          <w:i w:val="0"/>
          <w:szCs w:val="24"/>
          <w:lang w:eastAsia="en-US"/>
        </w:rPr>
      </w:pPr>
      <w:r>
        <w:rPr>
          <w:rFonts w:ascii="LiberationSerif" w:eastAsiaTheme="minorHAnsi" w:hAnsi="LiberationSerif" w:cs="LiberationSerif"/>
          <w:i w:val="0"/>
          <w:sz w:val="28"/>
          <w:szCs w:val="28"/>
          <w:lang w:eastAsia="en-US"/>
        </w:rPr>
        <w:t xml:space="preserve">Responsabile del procedimento: </w:t>
      </w:r>
      <w:r>
        <w:rPr>
          <w:rFonts w:ascii="LiberationSans" w:eastAsiaTheme="minorHAnsi" w:hAnsi="LiberationSans" w:cs="LiberationSans"/>
          <w:i w:val="0"/>
          <w:szCs w:val="24"/>
          <w:lang w:eastAsia="en-US"/>
        </w:rPr>
        <w:t>DOMENICO MUSACCHIA</w:t>
      </w:r>
    </w:p>
    <w:p w:rsidR="00AC5F58" w:rsidRDefault="00AC5F58" w:rsidP="00AC5F58">
      <w:pPr>
        <w:autoSpaceDE w:val="0"/>
        <w:autoSpaceDN w:val="0"/>
        <w:adjustRightInd w:val="0"/>
        <w:rPr>
          <w:rFonts w:ascii="LiberationSans" w:eastAsiaTheme="minorHAnsi" w:hAnsi="LiberationSans" w:cs="LiberationSans"/>
          <w:i w:val="0"/>
          <w:szCs w:val="24"/>
          <w:lang w:eastAsia="en-US"/>
        </w:rPr>
      </w:pPr>
    </w:p>
    <w:p w:rsidR="00AC5F58" w:rsidRDefault="00AC5F58" w:rsidP="00AC5F58">
      <w:pPr>
        <w:autoSpaceDE w:val="0"/>
        <w:autoSpaceDN w:val="0"/>
        <w:adjustRightInd w:val="0"/>
        <w:rPr>
          <w:rFonts w:ascii="LiberationSans" w:eastAsiaTheme="minorHAnsi" w:hAnsi="LiberationSans" w:cs="LiberationSans"/>
          <w:i w:val="0"/>
          <w:szCs w:val="24"/>
          <w:lang w:eastAsia="en-US"/>
        </w:rPr>
      </w:pPr>
      <w:r>
        <w:rPr>
          <w:rFonts w:ascii="LiberationSerif-Bold" w:eastAsiaTheme="minorHAnsi" w:hAnsi="LiberationSerif-Bold" w:cs="LiberationSerif-Bold"/>
          <w:b/>
          <w:bCs/>
          <w:i w:val="0"/>
          <w:sz w:val="26"/>
          <w:szCs w:val="26"/>
          <w:lang w:eastAsia="en-US"/>
        </w:rPr>
        <w:t>Oggetto</w:t>
      </w:r>
      <w:r>
        <w:rPr>
          <w:rFonts w:ascii="LiberationSerif-Bold" w:eastAsiaTheme="minorHAnsi" w:hAnsi="LiberationSerif-Bold" w:cs="LiberationSerif-Bold"/>
          <w:b/>
          <w:bCs/>
          <w:i w:val="0"/>
          <w:sz w:val="20"/>
          <w:lang w:eastAsia="en-US"/>
        </w:rPr>
        <w:t xml:space="preserve">: </w:t>
      </w:r>
      <w:r>
        <w:rPr>
          <w:rFonts w:ascii="LiberationSans" w:eastAsiaTheme="minorHAnsi" w:hAnsi="LiberationSans" w:cs="LiberationSans"/>
          <w:i w:val="0"/>
          <w:szCs w:val="24"/>
          <w:lang w:eastAsia="en-US"/>
        </w:rPr>
        <w:t>Procedura aperta per il Servizio di copertura assicurativa biennale RCA e ARD</w:t>
      </w:r>
    </w:p>
    <w:p w:rsidR="00AC5F58" w:rsidRDefault="00AC5F58" w:rsidP="00AC5F58">
      <w:pPr>
        <w:autoSpaceDE w:val="0"/>
        <w:autoSpaceDN w:val="0"/>
        <w:adjustRightInd w:val="0"/>
        <w:rPr>
          <w:rFonts w:ascii="LiberationSans" w:eastAsiaTheme="minorHAnsi" w:hAnsi="LiberationSans" w:cs="LiberationSans"/>
          <w:i w:val="0"/>
          <w:szCs w:val="24"/>
          <w:lang w:eastAsia="en-US"/>
        </w:rPr>
      </w:pPr>
      <w:r>
        <w:rPr>
          <w:rFonts w:ascii="LiberationSans" w:eastAsiaTheme="minorHAnsi" w:hAnsi="LiberationSans" w:cs="LiberationSans"/>
          <w:i w:val="0"/>
          <w:szCs w:val="24"/>
          <w:lang w:eastAsia="en-US"/>
        </w:rPr>
        <w:t>per i veicoli comunali- importo a base d’asta €. 700.000,00. CIG:7929301A2D</w:t>
      </w:r>
    </w:p>
    <w:p w:rsidR="00AC5F58" w:rsidRDefault="00AC5F58" w:rsidP="00AC5F58">
      <w:pPr>
        <w:autoSpaceDE w:val="0"/>
        <w:autoSpaceDN w:val="0"/>
        <w:adjustRightInd w:val="0"/>
        <w:rPr>
          <w:rFonts w:ascii="LiberationSans" w:eastAsiaTheme="minorHAnsi" w:hAnsi="LiberationSans" w:cs="LiberationSans"/>
          <w:i w:val="0"/>
          <w:szCs w:val="24"/>
          <w:lang w:eastAsia="en-US"/>
        </w:rPr>
      </w:pPr>
    </w:p>
    <w:p w:rsidR="00AC5F58" w:rsidRDefault="00AC5F58" w:rsidP="00AC5F58">
      <w:pPr>
        <w:autoSpaceDE w:val="0"/>
        <w:autoSpaceDN w:val="0"/>
        <w:adjustRightInd w:val="0"/>
        <w:rPr>
          <w:rFonts w:ascii="LiberationSans" w:eastAsiaTheme="minorHAnsi" w:hAnsi="LiberationSans" w:cs="LiberationSans"/>
          <w:i w:val="0"/>
          <w:szCs w:val="24"/>
          <w:lang w:eastAsia="en-US"/>
        </w:rPr>
      </w:pPr>
    </w:p>
    <w:p w:rsidR="00AC5F58" w:rsidRDefault="00AC5F58" w:rsidP="00AC5F58">
      <w:pPr>
        <w:autoSpaceDE w:val="0"/>
        <w:autoSpaceDN w:val="0"/>
        <w:adjustRightInd w:val="0"/>
        <w:rPr>
          <w:rFonts w:eastAsiaTheme="minorHAnsi"/>
          <w:i w:val="0"/>
          <w:sz w:val="22"/>
          <w:szCs w:val="22"/>
          <w:lang w:eastAsia="en-US"/>
        </w:rPr>
      </w:pPr>
      <w:r>
        <w:rPr>
          <w:rFonts w:eastAsiaTheme="minorHAnsi"/>
          <w:i w:val="0"/>
          <w:sz w:val="22"/>
          <w:szCs w:val="22"/>
          <w:lang w:eastAsia="en-US"/>
        </w:rPr>
        <w:t>Firmato digitalmente da:</w:t>
      </w:r>
    </w:p>
    <w:p w:rsidR="00AC5F58" w:rsidRDefault="00AC5F58" w:rsidP="00AC5F58">
      <w:pPr>
        <w:autoSpaceDE w:val="0"/>
        <w:autoSpaceDN w:val="0"/>
        <w:adjustRightInd w:val="0"/>
        <w:rPr>
          <w:rFonts w:eastAsiaTheme="minorHAnsi"/>
          <w:i w:val="0"/>
          <w:sz w:val="22"/>
          <w:szCs w:val="22"/>
          <w:lang w:eastAsia="en-US"/>
        </w:rPr>
      </w:pPr>
      <w:r>
        <w:rPr>
          <w:rFonts w:eastAsiaTheme="minorHAnsi"/>
          <w:i w:val="0"/>
          <w:sz w:val="22"/>
          <w:szCs w:val="22"/>
          <w:lang w:eastAsia="en-US"/>
        </w:rPr>
        <w:t>DOMENICO MUSACCHIA</w:t>
      </w:r>
    </w:p>
    <w:p w:rsidR="00AC5F58" w:rsidRDefault="00AC5F58" w:rsidP="00AC5F58">
      <w:pPr>
        <w:autoSpaceDE w:val="0"/>
        <w:autoSpaceDN w:val="0"/>
        <w:adjustRightInd w:val="0"/>
        <w:rPr>
          <w:rFonts w:eastAsiaTheme="minorHAnsi"/>
          <w:i w:val="0"/>
          <w:sz w:val="22"/>
          <w:szCs w:val="22"/>
          <w:lang w:eastAsia="en-US"/>
        </w:rPr>
      </w:pPr>
      <w:r>
        <w:rPr>
          <w:rFonts w:eastAsiaTheme="minorHAnsi"/>
          <w:i w:val="0"/>
          <w:sz w:val="22"/>
          <w:szCs w:val="22"/>
          <w:lang w:eastAsia="en-US"/>
        </w:rPr>
        <w:t>Data: 06/06/2019 09:11</w:t>
      </w:r>
    </w:p>
    <w:p w:rsidR="00AC5F58" w:rsidRDefault="00AC5F58" w:rsidP="001130DC">
      <w:pPr>
        <w:ind w:right="1"/>
        <w:jc w:val="both"/>
        <w:rPr>
          <w:b/>
          <w:i w:val="0"/>
          <w:szCs w:val="24"/>
        </w:rPr>
      </w:pPr>
    </w:p>
    <w:p w:rsidR="00125407" w:rsidRDefault="00125407" w:rsidP="001130DC">
      <w:pPr>
        <w:ind w:right="1"/>
        <w:jc w:val="both"/>
        <w:rPr>
          <w:b/>
          <w:i w:val="0"/>
          <w:szCs w:val="24"/>
        </w:rPr>
      </w:pPr>
    </w:p>
    <w:p w:rsidR="00125407" w:rsidRDefault="00125407" w:rsidP="00125407">
      <w:pPr>
        <w:pStyle w:val="Titolo3"/>
        <w:ind w:left="3540" w:right="1"/>
        <w:jc w:val="both"/>
        <w:rPr>
          <w:sz w:val="24"/>
        </w:rPr>
      </w:pPr>
      <w:r>
        <w:rPr>
          <w:sz w:val="24"/>
        </w:rPr>
        <w:t>IL DIRIGENTE</w:t>
      </w:r>
    </w:p>
    <w:p w:rsidR="00125407" w:rsidRDefault="00125407" w:rsidP="001130DC">
      <w:pPr>
        <w:ind w:right="1"/>
        <w:jc w:val="both"/>
        <w:rPr>
          <w:b/>
          <w:i w:val="0"/>
          <w:szCs w:val="24"/>
        </w:rPr>
      </w:pPr>
    </w:p>
    <w:p w:rsidR="001130DC" w:rsidRDefault="001130DC" w:rsidP="001130DC">
      <w:pPr>
        <w:ind w:right="1"/>
        <w:jc w:val="both"/>
        <w:rPr>
          <w:b/>
          <w:i w:val="0"/>
          <w:szCs w:val="24"/>
        </w:rPr>
      </w:pPr>
    </w:p>
    <w:p w:rsidR="00125407" w:rsidRDefault="001130DC" w:rsidP="00EC387B">
      <w:pPr>
        <w:ind w:right="1" w:firstLine="644"/>
        <w:jc w:val="both"/>
        <w:rPr>
          <w:i w:val="0"/>
          <w:szCs w:val="24"/>
        </w:rPr>
      </w:pPr>
      <w:r>
        <w:rPr>
          <w:b/>
          <w:i w:val="0"/>
          <w:szCs w:val="24"/>
        </w:rPr>
        <w:t>PREMESSO:</w:t>
      </w:r>
      <w:r>
        <w:rPr>
          <w:i w:val="0"/>
          <w:szCs w:val="24"/>
        </w:rPr>
        <w:t xml:space="preserve">  </w:t>
      </w:r>
    </w:p>
    <w:p w:rsidR="00125407" w:rsidRDefault="00125407" w:rsidP="001130DC">
      <w:pPr>
        <w:ind w:right="1"/>
        <w:jc w:val="both"/>
        <w:rPr>
          <w:i w:val="0"/>
          <w:szCs w:val="24"/>
        </w:rPr>
      </w:pPr>
      <w:r>
        <w:rPr>
          <w:i w:val="0"/>
          <w:szCs w:val="24"/>
        </w:rPr>
        <w:tab/>
      </w:r>
      <w:r>
        <w:rPr>
          <w:i w:val="0"/>
          <w:szCs w:val="24"/>
        </w:rPr>
        <w:tab/>
      </w:r>
      <w:r>
        <w:rPr>
          <w:i w:val="0"/>
          <w:szCs w:val="24"/>
        </w:rPr>
        <w:tab/>
      </w:r>
      <w:r>
        <w:rPr>
          <w:i w:val="0"/>
          <w:szCs w:val="24"/>
        </w:rPr>
        <w:tab/>
      </w:r>
    </w:p>
    <w:p w:rsidR="001130DC" w:rsidRDefault="001130DC" w:rsidP="001130DC">
      <w:pPr>
        <w:numPr>
          <w:ilvl w:val="0"/>
          <w:numId w:val="1"/>
        </w:numPr>
        <w:ind w:right="1"/>
        <w:jc w:val="both"/>
        <w:rPr>
          <w:i w:val="0"/>
        </w:rPr>
      </w:pPr>
      <w:r>
        <w:rPr>
          <w:i w:val="0"/>
        </w:rPr>
        <w:t xml:space="preserve">che con Rep.  n.  30  del  15.06.2017 è stato stipulato contratto per l’affidamento del    </w:t>
      </w:r>
      <w:r>
        <w:rPr>
          <w:bCs/>
        </w:rPr>
        <w:t>Servizio di copertura assicurativa biennale RCA e ARD per i veicoli comunali</w:t>
      </w:r>
      <w:r>
        <w:rPr>
          <w:i w:val="0"/>
        </w:rPr>
        <w:t xml:space="preserve"> fino al 30.06.2019;</w:t>
      </w:r>
    </w:p>
    <w:p w:rsidR="001130DC" w:rsidRDefault="001130DC" w:rsidP="001130DC">
      <w:pPr>
        <w:ind w:left="284" w:right="1"/>
        <w:jc w:val="both"/>
        <w:rPr>
          <w:i w:val="0"/>
        </w:rPr>
      </w:pPr>
    </w:p>
    <w:p w:rsidR="001130DC" w:rsidRDefault="001130DC" w:rsidP="001130DC">
      <w:pPr>
        <w:numPr>
          <w:ilvl w:val="0"/>
          <w:numId w:val="1"/>
        </w:numPr>
        <w:ind w:right="1"/>
        <w:jc w:val="both"/>
      </w:pPr>
      <w:r>
        <w:rPr>
          <w:i w:val="0"/>
        </w:rPr>
        <w:t xml:space="preserve">che risulta inesistente al momento una convenzione stipulata da CONSIP, nonché dalla Centrale Unica di Committenza della Regione Siciliana avente ad oggetto: </w:t>
      </w:r>
      <w:r>
        <w:t>“servizi comparabili con quelli oggetto di acquisizione”</w:t>
      </w:r>
      <w:r w:rsidR="00221442">
        <w:t>;</w:t>
      </w:r>
      <w:r>
        <w:t xml:space="preserve"> </w:t>
      </w:r>
    </w:p>
    <w:p w:rsidR="001130DC" w:rsidRDefault="001130DC" w:rsidP="001130DC">
      <w:pPr>
        <w:ind w:left="284" w:right="1"/>
        <w:jc w:val="both"/>
        <w:rPr>
          <w:i w:val="0"/>
        </w:rPr>
      </w:pPr>
    </w:p>
    <w:p w:rsidR="001130DC" w:rsidRDefault="001130DC" w:rsidP="001130DC">
      <w:pPr>
        <w:numPr>
          <w:ilvl w:val="0"/>
          <w:numId w:val="1"/>
        </w:numPr>
        <w:ind w:right="1"/>
        <w:jc w:val="both"/>
        <w:rPr>
          <w:i w:val="0"/>
        </w:rPr>
      </w:pPr>
      <w:r>
        <w:rPr>
          <w:i w:val="0"/>
        </w:rPr>
        <w:t>pertanto necessita procedere con urgenza all’acquisizione di nuovo servizio assicurativo come sopra, per i veicoli comunali mediante procedura aperta ai sensi dell’art. 60 del Codice, per l’importo a base d’asta di €. 700.000,00 biennale, alle condizioni dell’allegato capitolato d’oneri e modulistica, redatti dal RUP – CIG:</w:t>
      </w:r>
      <w:r w:rsidR="00221442">
        <w:rPr>
          <w:i w:val="0"/>
        </w:rPr>
        <w:t xml:space="preserve"> </w:t>
      </w:r>
      <w:r w:rsidR="00221442">
        <w:rPr>
          <w:bCs/>
          <w:caps/>
        </w:rPr>
        <w:t>7929301A2d;</w:t>
      </w:r>
    </w:p>
    <w:p w:rsidR="001130DC" w:rsidRDefault="001130DC" w:rsidP="001130DC">
      <w:pPr>
        <w:ind w:left="284" w:right="1"/>
        <w:jc w:val="both"/>
        <w:rPr>
          <w:i w:val="0"/>
        </w:rPr>
      </w:pPr>
    </w:p>
    <w:p w:rsidR="001130DC" w:rsidRDefault="001130DC" w:rsidP="001130DC">
      <w:pPr>
        <w:numPr>
          <w:ilvl w:val="0"/>
          <w:numId w:val="1"/>
        </w:numPr>
        <w:ind w:right="1"/>
        <w:jc w:val="both"/>
        <w:rPr>
          <w:i w:val="0"/>
        </w:rPr>
      </w:pPr>
      <w:r>
        <w:rPr>
          <w:i w:val="0"/>
        </w:rPr>
        <w:t xml:space="preserve">trattandosi di fornitura di servizi con caratteristiche standardizzate, è adottato  il criterio del minor prezzo di cui all’art. 95 comma 4 </w:t>
      </w:r>
      <w:proofErr w:type="spellStart"/>
      <w:r>
        <w:rPr>
          <w:i w:val="0"/>
        </w:rPr>
        <w:t>lett</w:t>
      </w:r>
      <w:proofErr w:type="spellEnd"/>
      <w:r>
        <w:rPr>
          <w:i w:val="0"/>
        </w:rPr>
        <w:t>. B.</w:t>
      </w:r>
    </w:p>
    <w:p w:rsidR="001130DC" w:rsidRDefault="001130DC" w:rsidP="001130DC">
      <w:pPr>
        <w:ind w:left="284" w:right="1"/>
        <w:jc w:val="both"/>
        <w:rPr>
          <w:i w:val="0"/>
        </w:rPr>
      </w:pPr>
    </w:p>
    <w:p w:rsidR="001130DC" w:rsidRDefault="001130DC" w:rsidP="001130DC">
      <w:pPr>
        <w:numPr>
          <w:ilvl w:val="0"/>
          <w:numId w:val="1"/>
        </w:numPr>
        <w:ind w:right="1"/>
        <w:jc w:val="both"/>
        <w:rPr>
          <w:i w:val="0"/>
        </w:rPr>
      </w:pPr>
      <w:r>
        <w:rPr>
          <w:i w:val="0"/>
        </w:rPr>
        <w:t>la suddetta base d’asta è stata definita dal RUP sulla base di precedente risultanza di gara di cui al contratto Rep. 30/2017.</w:t>
      </w:r>
    </w:p>
    <w:p w:rsidR="00EC387B" w:rsidRDefault="00EC387B" w:rsidP="00EC387B">
      <w:pPr>
        <w:pStyle w:val="Paragrafoelenco"/>
        <w:rPr>
          <w:i w:val="0"/>
        </w:rPr>
      </w:pPr>
    </w:p>
    <w:p w:rsidR="001130DC" w:rsidRPr="00B67B95" w:rsidRDefault="00EC387B" w:rsidP="001130DC">
      <w:pPr>
        <w:numPr>
          <w:ilvl w:val="0"/>
          <w:numId w:val="1"/>
        </w:numPr>
        <w:ind w:right="1"/>
        <w:jc w:val="both"/>
        <w:rPr>
          <w:i w:val="0"/>
          <w:color w:val="FF0000"/>
        </w:rPr>
      </w:pPr>
      <w:r w:rsidRPr="00B67B95">
        <w:rPr>
          <w:i w:val="0"/>
        </w:rPr>
        <w:t>L’importo di € 700.000,00 necessario per il finanziamento del presente provvedimento, risulta come appresso:</w:t>
      </w:r>
      <w:r w:rsidR="00CA5EE6" w:rsidRPr="00B67B95">
        <w:rPr>
          <w:i w:val="0"/>
        </w:rPr>
        <w:t xml:space="preserve"> </w:t>
      </w:r>
    </w:p>
    <w:p w:rsidR="00B67B95" w:rsidRPr="00B67B95" w:rsidRDefault="00B67B95" w:rsidP="00B67B95">
      <w:pPr>
        <w:ind w:left="644" w:right="1"/>
        <w:jc w:val="both"/>
        <w:rPr>
          <w:i w:val="0"/>
          <w:color w:val="FF0000"/>
        </w:rPr>
      </w:pPr>
    </w:p>
    <w:p w:rsidR="001130DC" w:rsidRDefault="001130DC" w:rsidP="001130DC">
      <w:pPr>
        <w:numPr>
          <w:ilvl w:val="0"/>
          <w:numId w:val="1"/>
        </w:numPr>
        <w:ind w:right="1"/>
        <w:jc w:val="both"/>
        <w:rPr>
          <w:i w:val="0"/>
        </w:rPr>
      </w:pPr>
      <w:r>
        <w:rPr>
          <w:i w:val="0"/>
        </w:rPr>
        <w:t>€   17.000,00</w:t>
      </w:r>
      <w:r w:rsidR="00EC387B">
        <w:rPr>
          <w:i w:val="0"/>
        </w:rPr>
        <w:t xml:space="preserve">, </w:t>
      </w:r>
      <w:r>
        <w:rPr>
          <w:i w:val="0"/>
        </w:rPr>
        <w:t>già finanziat</w:t>
      </w:r>
      <w:r w:rsidR="00EC387B">
        <w:rPr>
          <w:i w:val="0"/>
        </w:rPr>
        <w:t>i</w:t>
      </w:r>
      <w:r>
        <w:rPr>
          <w:i w:val="0"/>
        </w:rPr>
        <w:t xml:space="preserve"> sulla prenotazione n. 80119 anno 2019</w:t>
      </w:r>
      <w:r w:rsidR="00125407">
        <w:rPr>
          <w:i w:val="0"/>
        </w:rPr>
        <w:t>;</w:t>
      </w:r>
      <w:r>
        <w:rPr>
          <w:i w:val="0"/>
        </w:rPr>
        <w:t xml:space="preserve"> </w:t>
      </w:r>
    </w:p>
    <w:p w:rsidR="001130DC" w:rsidRDefault="001130DC" w:rsidP="001130DC">
      <w:pPr>
        <w:numPr>
          <w:ilvl w:val="0"/>
          <w:numId w:val="1"/>
        </w:numPr>
        <w:ind w:right="1"/>
        <w:jc w:val="both"/>
        <w:rPr>
          <w:i w:val="0"/>
        </w:rPr>
      </w:pPr>
      <w:r>
        <w:rPr>
          <w:i w:val="0"/>
        </w:rPr>
        <w:t xml:space="preserve">€ 158.000,00 </w:t>
      </w:r>
      <w:r w:rsidR="002C5693">
        <w:rPr>
          <w:i w:val="0"/>
        </w:rPr>
        <w:t>sul capitolo 2480, anno 2019</w:t>
      </w:r>
      <w:r w:rsidR="00260D45">
        <w:rPr>
          <w:i w:val="0"/>
        </w:rPr>
        <w:t>,</w:t>
      </w:r>
      <w:r w:rsidR="00260D45" w:rsidRPr="00260D45">
        <w:rPr>
          <w:i w:val="0"/>
        </w:rPr>
        <w:t xml:space="preserve"> </w:t>
      </w:r>
      <w:r w:rsidR="00260D45">
        <w:rPr>
          <w:i w:val="0"/>
        </w:rPr>
        <w:t>ai sensi del comma 2 art. 163 D.lgs. 267/00</w:t>
      </w:r>
      <w:r w:rsidR="002C5693">
        <w:rPr>
          <w:i w:val="0"/>
        </w:rPr>
        <w:t xml:space="preserve">. A tale proposito, poiché sullo stesso capitolo 2480  anno 2019 è stata assunta prenotazione 80120 di </w:t>
      </w:r>
      <w:r w:rsidR="00221442">
        <w:rPr>
          <w:i w:val="0"/>
        </w:rPr>
        <w:t>€ 550.000,00,</w:t>
      </w:r>
      <w:r w:rsidR="005B2AD8">
        <w:rPr>
          <w:i w:val="0"/>
        </w:rPr>
        <w:t xml:space="preserve"> tale prenotazione deve essere ridotta dell’indicato importo</w:t>
      </w:r>
      <w:r w:rsidR="00EB66FF">
        <w:rPr>
          <w:i w:val="0"/>
        </w:rPr>
        <w:t xml:space="preserve"> di € </w:t>
      </w:r>
      <w:r w:rsidR="00EB66FF">
        <w:rPr>
          <w:i w:val="0"/>
        </w:rPr>
        <w:lastRenderedPageBreak/>
        <w:t>158.000,00,</w:t>
      </w:r>
      <w:r w:rsidR="005B2AD8">
        <w:rPr>
          <w:i w:val="0"/>
        </w:rPr>
        <w:t xml:space="preserve"> per prenotare il medesimo importo di € 158.000,00 per le finalità di cui al presente provvedimento, </w:t>
      </w:r>
      <w:r w:rsidR="00125407">
        <w:rPr>
          <w:i w:val="0"/>
        </w:rPr>
        <w:t xml:space="preserve">restando confermata la restante parte della prenotazione per la finalità della eventuale proroga del </w:t>
      </w:r>
      <w:r w:rsidR="005B2AD8">
        <w:rPr>
          <w:i w:val="0"/>
        </w:rPr>
        <w:t xml:space="preserve">vigente </w:t>
      </w:r>
      <w:r w:rsidR="00125407">
        <w:rPr>
          <w:i w:val="0"/>
        </w:rPr>
        <w:t xml:space="preserve">contratto </w:t>
      </w:r>
      <w:r w:rsidR="005B2AD8">
        <w:rPr>
          <w:i w:val="0"/>
        </w:rPr>
        <w:t>di copertura assicurativa degli automezzi</w:t>
      </w:r>
      <w:r w:rsidR="00125407">
        <w:rPr>
          <w:i w:val="0"/>
        </w:rPr>
        <w:t>, secondo quanto previsto nel relativo CSA</w:t>
      </w:r>
      <w:r w:rsidR="00671793">
        <w:rPr>
          <w:i w:val="0"/>
        </w:rPr>
        <w:t>, nelle more della definizione della procedura in oggetto</w:t>
      </w:r>
      <w:r>
        <w:rPr>
          <w:i w:val="0"/>
        </w:rPr>
        <w:t>.</w:t>
      </w:r>
    </w:p>
    <w:p w:rsidR="001130DC" w:rsidRDefault="001130DC" w:rsidP="001130DC">
      <w:pPr>
        <w:ind w:left="360" w:right="1"/>
        <w:jc w:val="both"/>
        <w:rPr>
          <w:i w:val="0"/>
        </w:rPr>
      </w:pPr>
    </w:p>
    <w:p w:rsidR="001130DC" w:rsidRDefault="001130DC" w:rsidP="00671793">
      <w:pPr>
        <w:numPr>
          <w:ilvl w:val="0"/>
          <w:numId w:val="1"/>
        </w:numPr>
        <w:ind w:right="1"/>
        <w:jc w:val="both"/>
        <w:rPr>
          <w:i w:val="0"/>
        </w:rPr>
      </w:pPr>
      <w:r>
        <w:rPr>
          <w:i w:val="0"/>
        </w:rPr>
        <w:t xml:space="preserve">€ 508.000,00 </w:t>
      </w:r>
      <w:r w:rsidR="00671793">
        <w:rPr>
          <w:i w:val="0"/>
        </w:rPr>
        <w:t xml:space="preserve"> da prenotare </w:t>
      </w:r>
      <w:r>
        <w:rPr>
          <w:i w:val="0"/>
        </w:rPr>
        <w:t>sul Cap. 2480 anno 2020</w:t>
      </w:r>
      <w:r w:rsidR="00671793">
        <w:rPr>
          <w:i w:val="0"/>
        </w:rPr>
        <w:t>, ai sensi del comma 2 art. 163 D.lgs. 267/00;</w:t>
      </w:r>
    </w:p>
    <w:p w:rsidR="001130DC" w:rsidRDefault="001130DC" w:rsidP="001130DC">
      <w:pPr>
        <w:numPr>
          <w:ilvl w:val="0"/>
          <w:numId w:val="1"/>
        </w:numPr>
        <w:ind w:right="1"/>
        <w:jc w:val="both"/>
        <w:rPr>
          <w:i w:val="0"/>
        </w:rPr>
      </w:pPr>
      <w:r>
        <w:rPr>
          <w:i w:val="0"/>
        </w:rPr>
        <w:t xml:space="preserve">€   17.000,00 </w:t>
      </w:r>
      <w:r w:rsidR="00671793">
        <w:rPr>
          <w:i w:val="0"/>
        </w:rPr>
        <w:t xml:space="preserve"> da prenotare </w:t>
      </w:r>
      <w:r>
        <w:rPr>
          <w:i w:val="0"/>
        </w:rPr>
        <w:t>sul Cap. 2475 anno 2020</w:t>
      </w:r>
      <w:r w:rsidR="00671793">
        <w:rPr>
          <w:i w:val="0"/>
        </w:rPr>
        <w:t xml:space="preserve">, ai sensi del comma 2 art. 163 D.lgs. 267/00. </w:t>
      </w:r>
    </w:p>
    <w:p w:rsidR="001130DC" w:rsidRDefault="001130DC" w:rsidP="001130DC">
      <w:pPr>
        <w:ind w:left="360" w:right="1"/>
        <w:jc w:val="both"/>
        <w:rPr>
          <w:i w:val="0"/>
        </w:rPr>
      </w:pPr>
    </w:p>
    <w:p w:rsidR="001130DC" w:rsidRDefault="00671793" w:rsidP="00EE3F4C">
      <w:pPr>
        <w:ind w:left="644" w:right="1"/>
        <w:jc w:val="both"/>
        <w:rPr>
          <w:i w:val="0"/>
        </w:rPr>
      </w:pPr>
      <w:r>
        <w:rPr>
          <w:i w:val="0"/>
        </w:rPr>
        <w:t>I</w:t>
      </w:r>
      <w:r w:rsidR="00BB0E02">
        <w:rPr>
          <w:i w:val="0"/>
        </w:rPr>
        <w:t>l mancato finanziamento della complessiva somma creerebbe un  danno patrimoniale certo e grave all’Ente, restando gli automezzi privi di copertura assicurativa.</w:t>
      </w:r>
    </w:p>
    <w:p w:rsidR="001130DC" w:rsidRDefault="001130DC" w:rsidP="001130DC">
      <w:pPr>
        <w:ind w:left="3540" w:right="781" w:firstLine="708"/>
        <w:jc w:val="both"/>
        <w:rPr>
          <w:i w:val="0"/>
        </w:rPr>
      </w:pPr>
    </w:p>
    <w:p w:rsidR="001130DC" w:rsidRDefault="001130DC" w:rsidP="001130DC">
      <w:pPr>
        <w:ind w:left="3540" w:right="781" w:firstLine="708"/>
        <w:jc w:val="both"/>
        <w:rPr>
          <w:i w:val="0"/>
        </w:rPr>
      </w:pPr>
    </w:p>
    <w:p w:rsidR="001130DC" w:rsidRDefault="001130DC" w:rsidP="001130DC">
      <w:pPr>
        <w:tabs>
          <w:tab w:val="left" w:pos="142"/>
        </w:tabs>
        <w:ind w:left="720" w:right="1" w:hanging="578"/>
        <w:jc w:val="both"/>
        <w:rPr>
          <w:i w:val="0"/>
        </w:rPr>
      </w:pPr>
      <w:r>
        <w:rPr>
          <w:i w:val="0"/>
        </w:rPr>
        <w:t>VIST</w:t>
      </w:r>
      <w:r w:rsidR="00EE3F4C">
        <w:rPr>
          <w:i w:val="0"/>
        </w:rPr>
        <w:t>O</w:t>
      </w:r>
      <w:r>
        <w:rPr>
          <w:i w:val="0"/>
        </w:rPr>
        <w:t xml:space="preserve">: il </w:t>
      </w:r>
      <w:proofErr w:type="spellStart"/>
      <w:r>
        <w:rPr>
          <w:i w:val="0"/>
        </w:rPr>
        <w:t>D.Lgs.</w:t>
      </w:r>
      <w:proofErr w:type="spellEnd"/>
      <w:r>
        <w:rPr>
          <w:i w:val="0"/>
        </w:rPr>
        <w:t xml:space="preserve"> 267/00; </w:t>
      </w:r>
    </w:p>
    <w:p w:rsidR="001130DC" w:rsidRDefault="001130DC" w:rsidP="001130DC">
      <w:pPr>
        <w:tabs>
          <w:tab w:val="left" w:pos="142"/>
        </w:tabs>
        <w:ind w:left="720" w:right="1" w:hanging="578"/>
        <w:jc w:val="both"/>
        <w:rPr>
          <w:i w:val="0"/>
        </w:rPr>
      </w:pPr>
      <w:r>
        <w:rPr>
          <w:i w:val="0"/>
        </w:rPr>
        <w:t>VISTO il vigente Regolamento di contabilità;</w:t>
      </w:r>
    </w:p>
    <w:p w:rsidR="001130DC" w:rsidRDefault="001130DC" w:rsidP="001130DC">
      <w:pPr>
        <w:tabs>
          <w:tab w:val="left" w:pos="142"/>
        </w:tabs>
        <w:ind w:left="720" w:right="-566" w:hanging="578"/>
        <w:jc w:val="both"/>
        <w:rPr>
          <w:i w:val="0"/>
        </w:rPr>
      </w:pPr>
      <w:r>
        <w:rPr>
          <w:i w:val="0"/>
        </w:rPr>
        <w:t>VISTO il Codice dei Contratti Pubblici</w:t>
      </w:r>
      <w:r w:rsidR="00EB66FF">
        <w:rPr>
          <w:i w:val="0"/>
        </w:rPr>
        <w:t>;</w:t>
      </w:r>
    </w:p>
    <w:p w:rsidR="001130DC" w:rsidRDefault="001130DC" w:rsidP="001130DC">
      <w:pPr>
        <w:tabs>
          <w:tab w:val="left" w:pos="142"/>
        </w:tabs>
        <w:ind w:left="720" w:right="-566" w:hanging="578"/>
        <w:jc w:val="both"/>
        <w:rPr>
          <w:i w:val="0"/>
        </w:rPr>
      </w:pPr>
    </w:p>
    <w:p w:rsidR="001130DC" w:rsidRDefault="001130DC" w:rsidP="001130DC">
      <w:pPr>
        <w:pStyle w:val="Titolo2"/>
        <w:ind w:left="3540" w:right="1"/>
        <w:jc w:val="both"/>
        <w:rPr>
          <w:b/>
          <w:sz w:val="24"/>
        </w:rPr>
      </w:pPr>
      <w:r>
        <w:rPr>
          <w:b/>
          <w:sz w:val="24"/>
        </w:rPr>
        <w:t>DETERMINA</w:t>
      </w:r>
    </w:p>
    <w:p w:rsidR="001130DC" w:rsidRDefault="001130DC" w:rsidP="001130DC"/>
    <w:p w:rsidR="001130DC" w:rsidRDefault="001130DC" w:rsidP="001130DC">
      <w:pPr>
        <w:ind w:left="142" w:right="1" w:hanging="593"/>
        <w:jc w:val="both"/>
        <w:rPr>
          <w:i w:val="0"/>
        </w:rPr>
      </w:pPr>
      <w:r>
        <w:rPr>
          <w:i w:val="0"/>
        </w:rPr>
        <w:t xml:space="preserve">     </w:t>
      </w:r>
      <w:r>
        <w:rPr>
          <w:i w:val="0"/>
        </w:rPr>
        <w:tab/>
        <w:t xml:space="preserve">► approvare il  Capitolato D’Oneri, con </w:t>
      </w:r>
      <w:r w:rsidR="00BB0E02">
        <w:rPr>
          <w:i w:val="0"/>
        </w:rPr>
        <w:t xml:space="preserve">relativo </w:t>
      </w:r>
      <w:r>
        <w:rPr>
          <w:i w:val="0"/>
        </w:rPr>
        <w:t xml:space="preserve"> elenco veicoli,  relativo alla procedura  per l’affidamento  “</w:t>
      </w:r>
      <w:r>
        <w:rPr>
          <w:bCs/>
        </w:rPr>
        <w:t>Servizio di copertura assicurativa biennale RCA e ARD per i veicoli comunali”</w:t>
      </w:r>
      <w:r>
        <w:rPr>
          <w:i w:val="0"/>
        </w:rPr>
        <w:t xml:space="preserve">, allegato al presente provvedimento per costituirne parte integrante; </w:t>
      </w:r>
    </w:p>
    <w:p w:rsidR="001130DC" w:rsidRDefault="00BB0E02" w:rsidP="001130DC">
      <w:pPr>
        <w:tabs>
          <w:tab w:val="left" w:pos="9639"/>
        </w:tabs>
        <w:ind w:left="142" w:right="1"/>
        <w:jc w:val="both"/>
        <w:rPr>
          <w:i w:val="0"/>
        </w:rPr>
      </w:pPr>
      <w:r>
        <w:rPr>
          <w:i w:val="0"/>
        </w:rPr>
        <w:t xml:space="preserve">Dare atto che il CIG acquisito è: </w:t>
      </w:r>
      <w:r>
        <w:rPr>
          <w:bCs/>
          <w:caps/>
        </w:rPr>
        <w:t>7929301A2d</w:t>
      </w:r>
    </w:p>
    <w:p w:rsidR="001130DC" w:rsidRDefault="001130DC" w:rsidP="001130DC">
      <w:pPr>
        <w:ind w:right="1"/>
        <w:jc w:val="both"/>
        <w:rPr>
          <w:i w:val="0"/>
        </w:rPr>
      </w:pPr>
      <w:r>
        <w:rPr>
          <w:i w:val="0"/>
        </w:rPr>
        <w:t>► approvare l’allegato bando di gara e</w:t>
      </w:r>
      <w:r w:rsidR="00B74815">
        <w:rPr>
          <w:i w:val="0"/>
        </w:rPr>
        <w:t xml:space="preserve"> la </w:t>
      </w:r>
      <w:r>
        <w:rPr>
          <w:i w:val="0"/>
        </w:rPr>
        <w:t xml:space="preserve"> modulistica che formano parte integrante del presente provvedimento; </w:t>
      </w:r>
    </w:p>
    <w:p w:rsidR="001130DC" w:rsidRDefault="001130DC" w:rsidP="001130DC">
      <w:pPr>
        <w:ind w:right="1"/>
        <w:jc w:val="both"/>
        <w:rPr>
          <w:i w:val="0"/>
        </w:rPr>
      </w:pPr>
      <w:r>
        <w:rPr>
          <w:i w:val="0"/>
        </w:rPr>
        <w:t>► procedere mediante procedura aperta ai sensi dell’a</w:t>
      </w:r>
      <w:r w:rsidR="00BB0E02">
        <w:rPr>
          <w:i w:val="0"/>
        </w:rPr>
        <w:t>r</w:t>
      </w:r>
      <w:r>
        <w:rPr>
          <w:i w:val="0"/>
        </w:rPr>
        <w:t xml:space="preserve">t. 60 del Codice </w:t>
      </w:r>
      <w:r w:rsidR="00BB0E02">
        <w:rPr>
          <w:i w:val="0"/>
        </w:rPr>
        <w:t xml:space="preserve"> dei contratti </w:t>
      </w:r>
      <w:r>
        <w:rPr>
          <w:i w:val="0"/>
        </w:rPr>
        <w:t xml:space="preserve">all’acquisizione </w:t>
      </w:r>
      <w:r w:rsidR="00BB0E02">
        <w:rPr>
          <w:i w:val="0"/>
        </w:rPr>
        <w:t xml:space="preserve">del </w:t>
      </w:r>
      <w:r>
        <w:rPr>
          <w:bCs/>
        </w:rPr>
        <w:t>Servizio di copertura assicurativa biennale RCA e ARD per i veicoli comunali</w:t>
      </w:r>
      <w:r>
        <w:rPr>
          <w:i w:val="0"/>
        </w:rPr>
        <w:t xml:space="preserve"> , per l’importo a base d’</w:t>
      </w:r>
      <w:r w:rsidR="00BB0E02">
        <w:rPr>
          <w:i w:val="0"/>
        </w:rPr>
        <w:t>a</w:t>
      </w:r>
      <w:r>
        <w:rPr>
          <w:i w:val="0"/>
        </w:rPr>
        <w:t>sta di € 700.000,00;</w:t>
      </w:r>
    </w:p>
    <w:p w:rsidR="001130DC" w:rsidRDefault="001130DC" w:rsidP="001130DC">
      <w:pPr>
        <w:ind w:right="1"/>
        <w:jc w:val="both"/>
        <w:rPr>
          <w:i w:val="0"/>
        </w:rPr>
      </w:pPr>
      <w:r>
        <w:rPr>
          <w:i w:val="0"/>
        </w:rPr>
        <w:t xml:space="preserve">► stabilire quale criterio di aggiudicazione, il criterio del minor prezzo ai sensi dell’art. 95 comma 4 </w:t>
      </w:r>
      <w:proofErr w:type="spellStart"/>
      <w:r>
        <w:rPr>
          <w:i w:val="0"/>
        </w:rPr>
        <w:t>lett</w:t>
      </w:r>
      <w:proofErr w:type="spellEnd"/>
      <w:r>
        <w:rPr>
          <w:i w:val="0"/>
        </w:rPr>
        <w:t>. b del Codice.</w:t>
      </w:r>
    </w:p>
    <w:p w:rsidR="001130DC" w:rsidRDefault="001130DC" w:rsidP="001130DC">
      <w:pPr>
        <w:ind w:right="1"/>
        <w:jc w:val="both"/>
        <w:rPr>
          <w:i w:val="0"/>
        </w:rPr>
      </w:pPr>
      <w:r>
        <w:rPr>
          <w:i w:val="0"/>
        </w:rPr>
        <w:t>► dare atto che il prezzo a base d’asta è da ritenersi congruo;</w:t>
      </w:r>
    </w:p>
    <w:p w:rsidR="001130DC" w:rsidRDefault="001130DC" w:rsidP="001130DC">
      <w:pPr>
        <w:ind w:right="1"/>
        <w:jc w:val="both"/>
        <w:rPr>
          <w:i w:val="0"/>
        </w:rPr>
      </w:pPr>
      <w:r>
        <w:rPr>
          <w:i w:val="0"/>
        </w:rPr>
        <w:t>►esperire la procedura di gara secondo le vigenti normative e stipulare il relativo contratto a seguito di aggiudicazione definitiva divenuta efficace;</w:t>
      </w:r>
    </w:p>
    <w:p w:rsidR="00671793" w:rsidRPr="00B67B95" w:rsidRDefault="001130DC" w:rsidP="00671793">
      <w:pPr>
        <w:ind w:right="1"/>
        <w:jc w:val="both"/>
        <w:rPr>
          <w:i w:val="0"/>
          <w:color w:val="FF0000"/>
        </w:rPr>
      </w:pPr>
      <w:r>
        <w:rPr>
          <w:i w:val="0"/>
        </w:rPr>
        <w:t>►</w:t>
      </w:r>
      <w:r w:rsidR="00671793" w:rsidRPr="00671793">
        <w:rPr>
          <w:i w:val="0"/>
        </w:rPr>
        <w:t xml:space="preserve"> </w:t>
      </w:r>
      <w:r w:rsidR="00671793">
        <w:rPr>
          <w:i w:val="0"/>
        </w:rPr>
        <w:t>Prenotare l</w:t>
      </w:r>
      <w:r w:rsidR="00671793" w:rsidRPr="00B67B95">
        <w:rPr>
          <w:i w:val="0"/>
        </w:rPr>
        <w:t xml:space="preserve">’importo di € 700.000,00 necessario per il finanziamento del presente provvedimento,  come appresso: </w:t>
      </w:r>
    </w:p>
    <w:p w:rsidR="00671793" w:rsidRPr="00B67B95" w:rsidRDefault="00671793" w:rsidP="00671793">
      <w:pPr>
        <w:ind w:left="644" w:right="1"/>
        <w:jc w:val="both"/>
        <w:rPr>
          <w:i w:val="0"/>
          <w:color w:val="FF0000"/>
        </w:rPr>
      </w:pPr>
    </w:p>
    <w:p w:rsidR="00671793" w:rsidRDefault="00671793" w:rsidP="00671793">
      <w:pPr>
        <w:numPr>
          <w:ilvl w:val="0"/>
          <w:numId w:val="1"/>
        </w:numPr>
        <w:ind w:right="1"/>
        <w:jc w:val="both"/>
        <w:rPr>
          <w:i w:val="0"/>
        </w:rPr>
      </w:pPr>
      <w:r>
        <w:rPr>
          <w:i w:val="0"/>
        </w:rPr>
        <w:t xml:space="preserve">€   17.000,00, già finanziati sulla prenotazione n. 80119 anno 2019; </w:t>
      </w:r>
    </w:p>
    <w:p w:rsidR="00671793" w:rsidRDefault="00671793" w:rsidP="00671793">
      <w:pPr>
        <w:numPr>
          <w:ilvl w:val="0"/>
          <w:numId w:val="1"/>
        </w:numPr>
        <w:ind w:right="1"/>
        <w:jc w:val="both"/>
        <w:rPr>
          <w:i w:val="0"/>
        </w:rPr>
      </w:pPr>
      <w:r>
        <w:rPr>
          <w:i w:val="0"/>
        </w:rPr>
        <w:t>€ 158.000,00 sul capitolo 2480, anno 2019,</w:t>
      </w:r>
      <w:r w:rsidRPr="00260D45">
        <w:rPr>
          <w:i w:val="0"/>
        </w:rPr>
        <w:t xml:space="preserve"> </w:t>
      </w:r>
      <w:r>
        <w:rPr>
          <w:i w:val="0"/>
        </w:rPr>
        <w:t>ai sensi del comma 2 art. 163 D.lgs. 267/00. A tale proposito, poiché sullo stesso capitolo 2480  anno 2019 è stata assunta prenotazione 80120 di € 550.000,00, tale prenotazione deve essere ridotta dell’indicato importo</w:t>
      </w:r>
      <w:r w:rsidR="00EB66FF">
        <w:rPr>
          <w:i w:val="0"/>
        </w:rPr>
        <w:t xml:space="preserve"> di € 158.000,00,</w:t>
      </w:r>
      <w:r>
        <w:rPr>
          <w:i w:val="0"/>
        </w:rPr>
        <w:t xml:space="preserve"> per prenotare il medesimo importo di € 158.000,00 per le finalità di cui al presente provvedimento, restando confermata la restante parte della prenotazione per la finalità della eventuale proroga del vigente contratto di copertura assicurativa degli automezzi, secondo quanto previsto nel relativo CSA, nelle more della definizione della procedura in oggetto.</w:t>
      </w:r>
    </w:p>
    <w:p w:rsidR="00671793" w:rsidRDefault="00671793" w:rsidP="00671793">
      <w:pPr>
        <w:ind w:left="360" w:right="1"/>
        <w:jc w:val="both"/>
        <w:rPr>
          <w:i w:val="0"/>
        </w:rPr>
      </w:pPr>
    </w:p>
    <w:p w:rsidR="00671793" w:rsidRDefault="00671793" w:rsidP="00671793">
      <w:pPr>
        <w:numPr>
          <w:ilvl w:val="0"/>
          <w:numId w:val="1"/>
        </w:numPr>
        <w:ind w:right="1"/>
        <w:jc w:val="both"/>
        <w:rPr>
          <w:i w:val="0"/>
        </w:rPr>
      </w:pPr>
      <w:r>
        <w:rPr>
          <w:i w:val="0"/>
        </w:rPr>
        <w:t>€ 508.000,00  da prenotare sul Cap. 2480 anno 2020, ai sensi del comma 2 art. 163 D.lgs. 267/00;</w:t>
      </w:r>
    </w:p>
    <w:p w:rsidR="00671793" w:rsidRPr="00671793" w:rsidRDefault="00A15655" w:rsidP="00671793">
      <w:pPr>
        <w:numPr>
          <w:ilvl w:val="0"/>
          <w:numId w:val="1"/>
        </w:numPr>
        <w:ind w:left="360" w:right="1"/>
        <w:jc w:val="both"/>
        <w:rPr>
          <w:i w:val="0"/>
        </w:rPr>
      </w:pPr>
      <w:r>
        <w:rPr>
          <w:i w:val="0"/>
        </w:rPr>
        <w:t xml:space="preserve">    </w:t>
      </w:r>
      <w:r w:rsidR="00671793" w:rsidRPr="00671793">
        <w:rPr>
          <w:i w:val="0"/>
        </w:rPr>
        <w:t xml:space="preserve">€ 17.000,00  da prenotare sul Cap. 2475 anno 2020, ai sensi del comma 2 art. 163 D.lgs. 267/00. </w:t>
      </w:r>
    </w:p>
    <w:p w:rsidR="001130DC" w:rsidRDefault="001130DC" w:rsidP="00671793">
      <w:pPr>
        <w:ind w:right="1"/>
        <w:jc w:val="both"/>
        <w:rPr>
          <w:i w:val="0"/>
        </w:rPr>
      </w:pPr>
    </w:p>
    <w:p w:rsidR="001130DC" w:rsidRDefault="0067665C" w:rsidP="001130DC">
      <w:pPr>
        <w:ind w:right="1"/>
        <w:jc w:val="both"/>
        <w:rPr>
          <w:i w:val="0"/>
        </w:rPr>
      </w:pPr>
      <w:r>
        <w:rPr>
          <w:i w:val="0"/>
        </w:rPr>
        <w:lastRenderedPageBreak/>
        <w:t xml:space="preserve">Attestare che </w:t>
      </w:r>
      <w:r w:rsidR="001130DC">
        <w:rPr>
          <w:i w:val="0"/>
        </w:rPr>
        <w:t>il mancato finanziamento della complessiva somma cre</w:t>
      </w:r>
      <w:r w:rsidR="00BB0E02">
        <w:rPr>
          <w:i w:val="0"/>
        </w:rPr>
        <w:t xml:space="preserve">erebbe un </w:t>
      </w:r>
      <w:r w:rsidR="001130DC">
        <w:rPr>
          <w:i w:val="0"/>
        </w:rPr>
        <w:t xml:space="preserve"> danno patrimoniale certo e grave all’Ente</w:t>
      </w:r>
      <w:r w:rsidR="00BB0E02">
        <w:rPr>
          <w:i w:val="0"/>
        </w:rPr>
        <w:t>, restando gli automezzi privi di copertura assicurativa</w:t>
      </w:r>
      <w:r w:rsidR="001130DC">
        <w:rPr>
          <w:i w:val="0"/>
        </w:rPr>
        <w:t>.</w:t>
      </w:r>
    </w:p>
    <w:p w:rsidR="001130DC" w:rsidRDefault="001130DC" w:rsidP="001130DC">
      <w:pPr>
        <w:ind w:right="1"/>
        <w:jc w:val="both"/>
        <w:rPr>
          <w:i w:val="0"/>
          <w:highlight w:val="green"/>
        </w:rPr>
      </w:pPr>
      <w:r>
        <w:rPr>
          <w:i w:val="0"/>
        </w:rPr>
        <w:t>►attestare la regolarità  e la correttezza amministrativa del presente atto, ai sensi e per gli effetti di quanto dispone l’art.147 bis comma 1 del D.Lgs.n.267/00;</w:t>
      </w:r>
    </w:p>
    <w:p w:rsidR="001130DC" w:rsidRDefault="001130DC" w:rsidP="001130DC">
      <w:pPr>
        <w:ind w:right="781"/>
        <w:jc w:val="both"/>
        <w:rPr>
          <w:i w:val="0"/>
        </w:rPr>
      </w:pPr>
      <w:bookmarkStart w:id="1" w:name="_Hlk511297421"/>
      <w:r>
        <w:rPr>
          <w:i w:val="0"/>
        </w:rPr>
        <w:t>►</w:t>
      </w:r>
      <w:bookmarkEnd w:id="1"/>
      <w:r>
        <w:rPr>
          <w:i w:val="0"/>
        </w:rPr>
        <w:t xml:space="preserve"> ai sensi dell’art. 4 del D. </w:t>
      </w:r>
      <w:proofErr w:type="spellStart"/>
      <w:r>
        <w:rPr>
          <w:i w:val="0"/>
        </w:rPr>
        <w:t>Lgs</w:t>
      </w:r>
      <w:proofErr w:type="spellEnd"/>
      <w:r>
        <w:rPr>
          <w:i w:val="0"/>
        </w:rPr>
        <w:t xml:space="preserve"> n. 118/2011  si dà atto di quanto segue: </w:t>
      </w:r>
      <w:r>
        <w:rPr>
          <w:i w:val="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1246"/>
        <w:gridCol w:w="2309"/>
        <w:gridCol w:w="2635"/>
        <w:gridCol w:w="629"/>
        <w:gridCol w:w="579"/>
        <w:gridCol w:w="648"/>
      </w:tblGrid>
      <w:tr w:rsidR="001130DC" w:rsidTr="001130DC">
        <w:tc>
          <w:tcPr>
            <w:tcW w:w="1243" w:type="dxa"/>
            <w:tcBorders>
              <w:top w:val="single" w:sz="4" w:space="0" w:color="auto"/>
              <w:left w:val="single" w:sz="4" w:space="0" w:color="auto"/>
              <w:bottom w:val="single" w:sz="4" w:space="0" w:color="auto"/>
              <w:right w:val="single" w:sz="4" w:space="0" w:color="auto"/>
            </w:tcBorders>
            <w:hideMark/>
          </w:tcPr>
          <w:p w:rsidR="001130DC" w:rsidRDefault="001130DC">
            <w:pPr>
              <w:jc w:val="center"/>
              <w:rPr>
                <w:i w:val="0"/>
                <w:sz w:val="20"/>
              </w:rPr>
            </w:pPr>
            <w:r>
              <w:rPr>
                <w:i w:val="0"/>
                <w:sz w:val="20"/>
              </w:rPr>
              <w:t>Capitolo</w:t>
            </w:r>
          </w:p>
        </w:tc>
        <w:tc>
          <w:tcPr>
            <w:tcW w:w="1246" w:type="dxa"/>
            <w:tcBorders>
              <w:top w:val="single" w:sz="4" w:space="0" w:color="auto"/>
              <w:left w:val="single" w:sz="4" w:space="0" w:color="auto"/>
              <w:bottom w:val="single" w:sz="4" w:space="0" w:color="auto"/>
              <w:right w:val="single" w:sz="4" w:space="0" w:color="auto"/>
            </w:tcBorders>
            <w:hideMark/>
          </w:tcPr>
          <w:p w:rsidR="001130DC" w:rsidRDefault="001130DC">
            <w:pPr>
              <w:jc w:val="center"/>
              <w:rPr>
                <w:i w:val="0"/>
                <w:sz w:val="20"/>
              </w:rPr>
            </w:pPr>
            <w:r>
              <w:rPr>
                <w:i w:val="0"/>
                <w:sz w:val="20"/>
              </w:rPr>
              <w:t>Articolo</w:t>
            </w:r>
          </w:p>
        </w:tc>
        <w:tc>
          <w:tcPr>
            <w:tcW w:w="2309" w:type="dxa"/>
            <w:tcBorders>
              <w:top w:val="single" w:sz="4" w:space="0" w:color="auto"/>
              <w:left w:val="single" w:sz="4" w:space="0" w:color="auto"/>
              <w:bottom w:val="single" w:sz="4" w:space="0" w:color="auto"/>
              <w:right w:val="single" w:sz="4" w:space="0" w:color="auto"/>
            </w:tcBorders>
            <w:hideMark/>
          </w:tcPr>
          <w:p w:rsidR="001130DC" w:rsidRDefault="001130DC">
            <w:pPr>
              <w:jc w:val="center"/>
              <w:rPr>
                <w:i w:val="0"/>
                <w:sz w:val="20"/>
              </w:rPr>
            </w:pPr>
            <w:r>
              <w:rPr>
                <w:i w:val="0"/>
                <w:sz w:val="20"/>
              </w:rPr>
              <w:t>Codifica del V livello del</w:t>
            </w:r>
          </w:p>
          <w:p w:rsidR="001130DC" w:rsidRDefault="001130DC">
            <w:pPr>
              <w:jc w:val="center"/>
              <w:rPr>
                <w:i w:val="0"/>
                <w:sz w:val="20"/>
              </w:rPr>
            </w:pPr>
            <w:r>
              <w:rPr>
                <w:i w:val="0"/>
                <w:sz w:val="20"/>
              </w:rPr>
              <w:t>PDC finanziario</w:t>
            </w:r>
          </w:p>
        </w:tc>
        <w:tc>
          <w:tcPr>
            <w:tcW w:w="2635" w:type="dxa"/>
            <w:tcBorders>
              <w:top w:val="single" w:sz="4" w:space="0" w:color="auto"/>
              <w:left w:val="single" w:sz="4" w:space="0" w:color="auto"/>
              <w:bottom w:val="single" w:sz="4" w:space="0" w:color="auto"/>
              <w:right w:val="single" w:sz="4" w:space="0" w:color="auto"/>
            </w:tcBorders>
            <w:hideMark/>
          </w:tcPr>
          <w:p w:rsidR="001130DC" w:rsidRDefault="001130DC">
            <w:pPr>
              <w:jc w:val="center"/>
              <w:rPr>
                <w:i w:val="0"/>
                <w:sz w:val="20"/>
              </w:rPr>
            </w:pPr>
            <w:r>
              <w:rPr>
                <w:i w:val="0"/>
                <w:sz w:val="20"/>
              </w:rPr>
              <w:t>Somma da prenotare</w:t>
            </w:r>
          </w:p>
        </w:tc>
        <w:tc>
          <w:tcPr>
            <w:tcW w:w="1856" w:type="dxa"/>
            <w:gridSpan w:val="3"/>
            <w:tcBorders>
              <w:top w:val="single" w:sz="4" w:space="0" w:color="auto"/>
              <w:left w:val="single" w:sz="4" w:space="0" w:color="auto"/>
              <w:bottom w:val="single" w:sz="4" w:space="0" w:color="auto"/>
              <w:right w:val="single" w:sz="4" w:space="0" w:color="auto"/>
            </w:tcBorders>
            <w:hideMark/>
          </w:tcPr>
          <w:p w:rsidR="001130DC" w:rsidRDefault="001130DC">
            <w:pPr>
              <w:jc w:val="center"/>
              <w:rPr>
                <w:i w:val="0"/>
                <w:sz w:val="20"/>
              </w:rPr>
            </w:pPr>
            <w:r>
              <w:rPr>
                <w:i w:val="0"/>
                <w:sz w:val="20"/>
              </w:rPr>
              <w:t>Anno di esigibilità</w:t>
            </w:r>
          </w:p>
          <w:p w:rsidR="001130DC" w:rsidRDefault="001130DC">
            <w:pPr>
              <w:rPr>
                <w:i w:val="0"/>
                <w:sz w:val="20"/>
              </w:rPr>
            </w:pPr>
            <w:r>
              <w:rPr>
                <w:i w:val="0"/>
                <w:sz w:val="20"/>
              </w:rPr>
              <w:t>2018   2019   2020</w:t>
            </w:r>
          </w:p>
        </w:tc>
      </w:tr>
      <w:tr w:rsidR="001130DC" w:rsidTr="001130DC">
        <w:tc>
          <w:tcPr>
            <w:tcW w:w="1243" w:type="dxa"/>
            <w:tcBorders>
              <w:top w:val="single" w:sz="4" w:space="0" w:color="auto"/>
              <w:left w:val="single" w:sz="4" w:space="0" w:color="auto"/>
              <w:bottom w:val="single" w:sz="4" w:space="0" w:color="auto"/>
              <w:right w:val="single" w:sz="4" w:space="0" w:color="auto"/>
            </w:tcBorders>
            <w:hideMark/>
          </w:tcPr>
          <w:p w:rsidR="001130DC" w:rsidRDefault="001130DC" w:rsidP="00C07115">
            <w:pPr>
              <w:rPr>
                <w:i w:val="0"/>
              </w:rPr>
            </w:pPr>
            <w:r>
              <w:rPr>
                <w:i w:val="0"/>
              </w:rPr>
              <w:t>24</w:t>
            </w:r>
            <w:r w:rsidR="00C07115">
              <w:rPr>
                <w:i w:val="0"/>
              </w:rPr>
              <w:t>80</w:t>
            </w:r>
          </w:p>
        </w:tc>
        <w:tc>
          <w:tcPr>
            <w:tcW w:w="1246" w:type="dxa"/>
            <w:tcBorders>
              <w:top w:val="single" w:sz="4" w:space="0" w:color="auto"/>
              <w:left w:val="single" w:sz="4" w:space="0" w:color="auto"/>
              <w:bottom w:val="single" w:sz="4" w:space="0" w:color="auto"/>
              <w:right w:val="single" w:sz="4" w:space="0" w:color="auto"/>
            </w:tcBorders>
          </w:tcPr>
          <w:p w:rsidR="001130DC" w:rsidRDefault="001130DC">
            <w:pPr>
              <w:rPr>
                <w:i w:val="0"/>
              </w:rPr>
            </w:pPr>
          </w:p>
        </w:tc>
        <w:tc>
          <w:tcPr>
            <w:tcW w:w="2309" w:type="dxa"/>
            <w:tcBorders>
              <w:top w:val="single" w:sz="4" w:space="0" w:color="auto"/>
              <w:left w:val="single" w:sz="4" w:space="0" w:color="auto"/>
              <w:bottom w:val="single" w:sz="4" w:space="0" w:color="auto"/>
              <w:right w:val="single" w:sz="4" w:space="0" w:color="auto"/>
            </w:tcBorders>
            <w:hideMark/>
          </w:tcPr>
          <w:p w:rsidR="001130DC" w:rsidRDefault="001130DC">
            <w:pPr>
              <w:rPr>
                <w:i w:val="0"/>
              </w:rPr>
            </w:pPr>
            <w:r>
              <w:rPr>
                <w:i w:val="0"/>
              </w:rPr>
              <w:t xml:space="preserve">1 10 4 1 1 </w:t>
            </w:r>
          </w:p>
        </w:tc>
        <w:tc>
          <w:tcPr>
            <w:tcW w:w="2635" w:type="dxa"/>
            <w:tcBorders>
              <w:top w:val="single" w:sz="4" w:space="0" w:color="auto"/>
              <w:left w:val="single" w:sz="4" w:space="0" w:color="auto"/>
              <w:bottom w:val="single" w:sz="4" w:space="0" w:color="auto"/>
              <w:right w:val="single" w:sz="4" w:space="0" w:color="auto"/>
            </w:tcBorders>
            <w:hideMark/>
          </w:tcPr>
          <w:p w:rsidR="001130DC" w:rsidRDefault="000055FD">
            <w:pPr>
              <w:rPr>
                <w:i w:val="0"/>
              </w:rPr>
            </w:pPr>
            <w:r>
              <w:rPr>
                <w:i w:val="0"/>
              </w:rPr>
              <w:t xml:space="preserve">€ </w:t>
            </w:r>
            <w:r w:rsidR="00C07115">
              <w:rPr>
                <w:i w:val="0"/>
              </w:rPr>
              <w:t>158.000</w:t>
            </w:r>
            <w:r>
              <w:rPr>
                <w:i w:val="0"/>
              </w:rPr>
              <w:t>,00</w:t>
            </w:r>
          </w:p>
        </w:tc>
        <w:tc>
          <w:tcPr>
            <w:tcW w:w="629" w:type="dxa"/>
            <w:tcBorders>
              <w:top w:val="single" w:sz="4" w:space="0" w:color="auto"/>
              <w:left w:val="single" w:sz="4" w:space="0" w:color="auto"/>
              <w:bottom w:val="single" w:sz="4" w:space="0" w:color="auto"/>
              <w:right w:val="single" w:sz="4" w:space="0" w:color="auto"/>
            </w:tcBorders>
          </w:tcPr>
          <w:p w:rsidR="001130DC" w:rsidRDefault="001130DC">
            <w:pPr>
              <w:rPr>
                <w:i w:val="0"/>
              </w:rPr>
            </w:pPr>
          </w:p>
        </w:tc>
        <w:tc>
          <w:tcPr>
            <w:tcW w:w="579" w:type="dxa"/>
            <w:tcBorders>
              <w:top w:val="single" w:sz="4" w:space="0" w:color="auto"/>
              <w:left w:val="single" w:sz="4" w:space="0" w:color="auto"/>
              <w:bottom w:val="single" w:sz="4" w:space="0" w:color="auto"/>
              <w:right w:val="single" w:sz="4" w:space="0" w:color="auto"/>
            </w:tcBorders>
          </w:tcPr>
          <w:p w:rsidR="001130DC" w:rsidRDefault="00C07115">
            <w:pPr>
              <w:rPr>
                <w:i w:val="0"/>
              </w:rPr>
            </w:pPr>
            <w:r>
              <w:rPr>
                <w:i w:val="0"/>
              </w:rPr>
              <w:t>X</w:t>
            </w:r>
          </w:p>
        </w:tc>
        <w:tc>
          <w:tcPr>
            <w:tcW w:w="648" w:type="dxa"/>
            <w:tcBorders>
              <w:top w:val="single" w:sz="4" w:space="0" w:color="auto"/>
              <w:left w:val="single" w:sz="4" w:space="0" w:color="auto"/>
              <w:bottom w:val="single" w:sz="4" w:space="0" w:color="auto"/>
              <w:right w:val="single" w:sz="4" w:space="0" w:color="auto"/>
            </w:tcBorders>
            <w:hideMark/>
          </w:tcPr>
          <w:p w:rsidR="001130DC" w:rsidRDefault="001130DC">
            <w:pPr>
              <w:rPr>
                <w:i w:val="0"/>
              </w:rPr>
            </w:pPr>
          </w:p>
        </w:tc>
      </w:tr>
      <w:tr w:rsidR="001130DC" w:rsidTr="001130DC">
        <w:tc>
          <w:tcPr>
            <w:tcW w:w="1243" w:type="dxa"/>
            <w:tcBorders>
              <w:top w:val="single" w:sz="4" w:space="0" w:color="auto"/>
              <w:left w:val="single" w:sz="4" w:space="0" w:color="auto"/>
              <w:bottom w:val="single" w:sz="4" w:space="0" w:color="auto"/>
              <w:right w:val="single" w:sz="4" w:space="0" w:color="auto"/>
            </w:tcBorders>
            <w:hideMark/>
          </w:tcPr>
          <w:p w:rsidR="001130DC" w:rsidRDefault="001130DC">
            <w:pPr>
              <w:rPr>
                <w:i w:val="0"/>
              </w:rPr>
            </w:pPr>
            <w:r>
              <w:rPr>
                <w:i w:val="0"/>
              </w:rPr>
              <w:t>2480</w:t>
            </w:r>
          </w:p>
        </w:tc>
        <w:tc>
          <w:tcPr>
            <w:tcW w:w="1246" w:type="dxa"/>
            <w:tcBorders>
              <w:top w:val="single" w:sz="4" w:space="0" w:color="auto"/>
              <w:left w:val="single" w:sz="4" w:space="0" w:color="auto"/>
              <w:bottom w:val="single" w:sz="4" w:space="0" w:color="auto"/>
              <w:right w:val="single" w:sz="4" w:space="0" w:color="auto"/>
            </w:tcBorders>
          </w:tcPr>
          <w:p w:rsidR="001130DC" w:rsidRDefault="001130DC">
            <w:pPr>
              <w:rPr>
                <w:i w:val="0"/>
              </w:rPr>
            </w:pPr>
          </w:p>
        </w:tc>
        <w:tc>
          <w:tcPr>
            <w:tcW w:w="2309" w:type="dxa"/>
            <w:tcBorders>
              <w:top w:val="single" w:sz="4" w:space="0" w:color="auto"/>
              <w:left w:val="single" w:sz="4" w:space="0" w:color="auto"/>
              <w:bottom w:val="single" w:sz="4" w:space="0" w:color="auto"/>
              <w:right w:val="single" w:sz="4" w:space="0" w:color="auto"/>
            </w:tcBorders>
            <w:hideMark/>
          </w:tcPr>
          <w:p w:rsidR="001130DC" w:rsidRDefault="001130DC">
            <w:pPr>
              <w:rPr>
                <w:i w:val="0"/>
              </w:rPr>
            </w:pPr>
            <w:r>
              <w:rPr>
                <w:i w:val="0"/>
              </w:rPr>
              <w:t>1 10 4 1 1</w:t>
            </w:r>
          </w:p>
        </w:tc>
        <w:tc>
          <w:tcPr>
            <w:tcW w:w="2635" w:type="dxa"/>
            <w:tcBorders>
              <w:top w:val="single" w:sz="4" w:space="0" w:color="auto"/>
              <w:left w:val="single" w:sz="4" w:space="0" w:color="auto"/>
              <w:bottom w:val="single" w:sz="4" w:space="0" w:color="auto"/>
              <w:right w:val="single" w:sz="4" w:space="0" w:color="auto"/>
            </w:tcBorders>
            <w:hideMark/>
          </w:tcPr>
          <w:p w:rsidR="001130DC" w:rsidRDefault="000055FD">
            <w:pPr>
              <w:rPr>
                <w:i w:val="0"/>
              </w:rPr>
            </w:pPr>
            <w:r>
              <w:rPr>
                <w:i w:val="0"/>
              </w:rPr>
              <w:t xml:space="preserve">€ </w:t>
            </w:r>
            <w:r w:rsidR="001130DC">
              <w:rPr>
                <w:i w:val="0"/>
              </w:rPr>
              <w:t>508.000,00</w:t>
            </w:r>
          </w:p>
        </w:tc>
        <w:tc>
          <w:tcPr>
            <w:tcW w:w="629" w:type="dxa"/>
            <w:tcBorders>
              <w:top w:val="single" w:sz="4" w:space="0" w:color="auto"/>
              <w:left w:val="single" w:sz="4" w:space="0" w:color="auto"/>
              <w:bottom w:val="single" w:sz="4" w:space="0" w:color="auto"/>
              <w:right w:val="single" w:sz="4" w:space="0" w:color="auto"/>
            </w:tcBorders>
          </w:tcPr>
          <w:p w:rsidR="001130DC" w:rsidRDefault="001130DC">
            <w:pPr>
              <w:rPr>
                <w:i w:val="0"/>
              </w:rPr>
            </w:pPr>
          </w:p>
        </w:tc>
        <w:tc>
          <w:tcPr>
            <w:tcW w:w="579" w:type="dxa"/>
            <w:tcBorders>
              <w:top w:val="single" w:sz="4" w:space="0" w:color="auto"/>
              <w:left w:val="single" w:sz="4" w:space="0" w:color="auto"/>
              <w:bottom w:val="single" w:sz="4" w:space="0" w:color="auto"/>
              <w:right w:val="single" w:sz="4" w:space="0" w:color="auto"/>
            </w:tcBorders>
          </w:tcPr>
          <w:p w:rsidR="001130DC" w:rsidRDefault="001130DC">
            <w:pPr>
              <w:rPr>
                <w:i w:val="0"/>
              </w:rPr>
            </w:pPr>
          </w:p>
        </w:tc>
        <w:tc>
          <w:tcPr>
            <w:tcW w:w="648" w:type="dxa"/>
            <w:tcBorders>
              <w:top w:val="single" w:sz="4" w:space="0" w:color="auto"/>
              <w:left w:val="single" w:sz="4" w:space="0" w:color="auto"/>
              <w:bottom w:val="single" w:sz="4" w:space="0" w:color="auto"/>
              <w:right w:val="single" w:sz="4" w:space="0" w:color="auto"/>
            </w:tcBorders>
            <w:hideMark/>
          </w:tcPr>
          <w:p w:rsidR="001130DC" w:rsidRDefault="001130DC">
            <w:pPr>
              <w:rPr>
                <w:i w:val="0"/>
              </w:rPr>
            </w:pPr>
            <w:r>
              <w:rPr>
                <w:i w:val="0"/>
              </w:rPr>
              <w:t>X</w:t>
            </w:r>
          </w:p>
        </w:tc>
      </w:tr>
      <w:tr w:rsidR="00671793" w:rsidTr="001130DC">
        <w:tc>
          <w:tcPr>
            <w:tcW w:w="1243" w:type="dxa"/>
            <w:tcBorders>
              <w:top w:val="single" w:sz="4" w:space="0" w:color="auto"/>
              <w:left w:val="single" w:sz="4" w:space="0" w:color="auto"/>
              <w:bottom w:val="single" w:sz="4" w:space="0" w:color="auto"/>
              <w:right w:val="single" w:sz="4" w:space="0" w:color="auto"/>
            </w:tcBorders>
          </w:tcPr>
          <w:p w:rsidR="00671793" w:rsidRDefault="00671793" w:rsidP="00387ABD">
            <w:pPr>
              <w:rPr>
                <w:i w:val="0"/>
              </w:rPr>
            </w:pPr>
            <w:r>
              <w:rPr>
                <w:i w:val="0"/>
              </w:rPr>
              <w:t>2475</w:t>
            </w:r>
          </w:p>
        </w:tc>
        <w:tc>
          <w:tcPr>
            <w:tcW w:w="1246" w:type="dxa"/>
            <w:tcBorders>
              <w:top w:val="single" w:sz="4" w:space="0" w:color="auto"/>
              <w:left w:val="single" w:sz="4" w:space="0" w:color="auto"/>
              <w:bottom w:val="single" w:sz="4" w:space="0" w:color="auto"/>
              <w:right w:val="single" w:sz="4" w:space="0" w:color="auto"/>
            </w:tcBorders>
          </w:tcPr>
          <w:p w:rsidR="00671793" w:rsidRDefault="00671793" w:rsidP="00387ABD">
            <w:pPr>
              <w:rPr>
                <w:i w:val="0"/>
              </w:rPr>
            </w:pPr>
          </w:p>
        </w:tc>
        <w:tc>
          <w:tcPr>
            <w:tcW w:w="2309" w:type="dxa"/>
            <w:tcBorders>
              <w:top w:val="single" w:sz="4" w:space="0" w:color="auto"/>
              <w:left w:val="single" w:sz="4" w:space="0" w:color="auto"/>
              <w:bottom w:val="single" w:sz="4" w:space="0" w:color="auto"/>
              <w:right w:val="single" w:sz="4" w:space="0" w:color="auto"/>
            </w:tcBorders>
          </w:tcPr>
          <w:p w:rsidR="00671793" w:rsidRDefault="00671793" w:rsidP="00387ABD">
            <w:pPr>
              <w:rPr>
                <w:i w:val="0"/>
              </w:rPr>
            </w:pPr>
            <w:r>
              <w:rPr>
                <w:i w:val="0"/>
              </w:rPr>
              <w:t xml:space="preserve">1 10 4 1 1 </w:t>
            </w:r>
          </w:p>
        </w:tc>
        <w:tc>
          <w:tcPr>
            <w:tcW w:w="2635" w:type="dxa"/>
            <w:tcBorders>
              <w:top w:val="single" w:sz="4" w:space="0" w:color="auto"/>
              <w:left w:val="single" w:sz="4" w:space="0" w:color="auto"/>
              <w:bottom w:val="single" w:sz="4" w:space="0" w:color="auto"/>
              <w:right w:val="single" w:sz="4" w:space="0" w:color="auto"/>
            </w:tcBorders>
          </w:tcPr>
          <w:p w:rsidR="00671793" w:rsidRDefault="000055FD" w:rsidP="00387ABD">
            <w:pPr>
              <w:rPr>
                <w:i w:val="0"/>
              </w:rPr>
            </w:pPr>
            <w:r>
              <w:rPr>
                <w:i w:val="0"/>
              </w:rPr>
              <w:t xml:space="preserve"> € </w:t>
            </w:r>
            <w:r w:rsidR="00671793">
              <w:rPr>
                <w:i w:val="0"/>
              </w:rPr>
              <w:t>17.000,00</w:t>
            </w:r>
          </w:p>
        </w:tc>
        <w:tc>
          <w:tcPr>
            <w:tcW w:w="629" w:type="dxa"/>
            <w:tcBorders>
              <w:top w:val="single" w:sz="4" w:space="0" w:color="auto"/>
              <w:left w:val="single" w:sz="4" w:space="0" w:color="auto"/>
              <w:bottom w:val="single" w:sz="4" w:space="0" w:color="auto"/>
              <w:right w:val="single" w:sz="4" w:space="0" w:color="auto"/>
            </w:tcBorders>
          </w:tcPr>
          <w:p w:rsidR="00671793" w:rsidRDefault="00671793" w:rsidP="00387ABD">
            <w:pPr>
              <w:rPr>
                <w:i w:val="0"/>
              </w:rPr>
            </w:pPr>
          </w:p>
        </w:tc>
        <w:tc>
          <w:tcPr>
            <w:tcW w:w="579" w:type="dxa"/>
            <w:tcBorders>
              <w:top w:val="single" w:sz="4" w:space="0" w:color="auto"/>
              <w:left w:val="single" w:sz="4" w:space="0" w:color="auto"/>
              <w:bottom w:val="single" w:sz="4" w:space="0" w:color="auto"/>
              <w:right w:val="single" w:sz="4" w:space="0" w:color="auto"/>
            </w:tcBorders>
          </w:tcPr>
          <w:p w:rsidR="00671793" w:rsidRDefault="00671793" w:rsidP="00387ABD">
            <w:pPr>
              <w:rPr>
                <w:i w:val="0"/>
              </w:rPr>
            </w:pPr>
          </w:p>
        </w:tc>
        <w:tc>
          <w:tcPr>
            <w:tcW w:w="648" w:type="dxa"/>
            <w:tcBorders>
              <w:top w:val="single" w:sz="4" w:space="0" w:color="auto"/>
              <w:left w:val="single" w:sz="4" w:space="0" w:color="auto"/>
              <w:bottom w:val="single" w:sz="4" w:space="0" w:color="auto"/>
              <w:right w:val="single" w:sz="4" w:space="0" w:color="auto"/>
            </w:tcBorders>
          </w:tcPr>
          <w:p w:rsidR="00671793" w:rsidRDefault="00671793" w:rsidP="00387ABD">
            <w:pPr>
              <w:rPr>
                <w:i w:val="0"/>
              </w:rPr>
            </w:pPr>
            <w:r>
              <w:rPr>
                <w:i w:val="0"/>
              </w:rPr>
              <w:t>X</w:t>
            </w:r>
          </w:p>
        </w:tc>
      </w:tr>
    </w:tbl>
    <w:p w:rsidR="001130DC" w:rsidRDefault="001130DC" w:rsidP="001130DC">
      <w:pPr>
        <w:ind w:left="4956" w:right="1" w:firstLine="708"/>
        <w:jc w:val="both"/>
        <w:rPr>
          <w:i w:val="0"/>
        </w:rPr>
      </w:pPr>
    </w:p>
    <w:p w:rsidR="000055FD" w:rsidRDefault="000055FD" w:rsidP="000055FD">
      <w:pPr>
        <w:ind w:right="1"/>
        <w:jc w:val="both"/>
        <w:rPr>
          <w:i w:val="0"/>
        </w:rPr>
      </w:pPr>
      <w:r>
        <w:rPr>
          <w:i w:val="0"/>
        </w:rPr>
        <w:t>Inoltre:</w:t>
      </w:r>
    </w:p>
    <w:p w:rsidR="001130DC" w:rsidRDefault="000055FD" w:rsidP="000055FD">
      <w:pPr>
        <w:ind w:right="1"/>
        <w:jc w:val="both"/>
        <w:rPr>
          <w:i w:val="0"/>
        </w:rPr>
      </w:pPr>
      <w:r>
        <w:rPr>
          <w:i w:val="0"/>
        </w:rPr>
        <w:t>somma già prenotata che si conferma: capitolo 2475 –Codifica PDC:</w:t>
      </w:r>
      <w:r w:rsidRPr="000055FD">
        <w:rPr>
          <w:i w:val="0"/>
        </w:rPr>
        <w:t xml:space="preserve"> </w:t>
      </w:r>
      <w:r>
        <w:rPr>
          <w:i w:val="0"/>
        </w:rPr>
        <w:t xml:space="preserve">1 10 4 1 1-€ 17.000,00- </w:t>
      </w:r>
    </w:p>
    <w:p w:rsidR="000055FD" w:rsidRDefault="000055FD" w:rsidP="000055FD">
      <w:pPr>
        <w:ind w:right="1"/>
        <w:jc w:val="both"/>
        <w:rPr>
          <w:i w:val="0"/>
        </w:rPr>
      </w:pPr>
      <w:r>
        <w:rPr>
          <w:i w:val="0"/>
        </w:rPr>
        <w:t>esigibilità 2019.</w:t>
      </w:r>
    </w:p>
    <w:p w:rsidR="000055FD" w:rsidRDefault="000055FD" w:rsidP="001130DC">
      <w:pPr>
        <w:ind w:left="4956" w:right="1" w:firstLine="708"/>
        <w:jc w:val="both"/>
        <w:rPr>
          <w:i w:val="0"/>
        </w:rPr>
      </w:pPr>
    </w:p>
    <w:p w:rsidR="001130DC" w:rsidRDefault="00E7625B" w:rsidP="00E7625B">
      <w:pPr>
        <w:ind w:left="4248" w:right="1" w:firstLine="708"/>
        <w:jc w:val="both"/>
        <w:rPr>
          <w:i w:val="0"/>
        </w:rPr>
      </w:pPr>
      <w:r>
        <w:rPr>
          <w:i w:val="0"/>
        </w:rPr>
        <w:t xml:space="preserve">  </w:t>
      </w:r>
      <w:r w:rsidR="001130DC">
        <w:rPr>
          <w:i w:val="0"/>
        </w:rPr>
        <w:t xml:space="preserve">IL   DIRIGENTE </w:t>
      </w:r>
    </w:p>
    <w:p w:rsidR="00AB393B" w:rsidRDefault="001130DC" w:rsidP="00E7625B">
      <w:pPr>
        <w:ind w:left="4956" w:right="1"/>
        <w:jc w:val="both"/>
      </w:pPr>
      <w:r>
        <w:rPr>
          <w:i w:val="0"/>
        </w:rPr>
        <w:t>Domenico</w:t>
      </w:r>
      <w:r w:rsidR="00E7625B">
        <w:rPr>
          <w:i w:val="0"/>
        </w:rPr>
        <w:t xml:space="preserve"> </w:t>
      </w:r>
      <w:proofErr w:type="spellStart"/>
      <w:r w:rsidR="00E7625B">
        <w:rPr>
          <w:i w:val="0"/>
        </w:rPr>
        <w:t>Musacchia</w:t>
      </w:r>
      <w:proofErr w:type="spellEnd"/>
      <w:r>
        <w:t xml:space="preserve">        </w:t>
      </w:r>
    </w:p>
    <w:sectPr w:rsidR="00AB393B" w:rsidSect="008961A4">
      <w:pgSz w:w="11906" w:h="16838"/>
      <w:pgMar w:top="90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Serif-Bold">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LiberationSans-Bold">
    <w:panose1 w:val="00000000000000000000"/>
    <w:charset w:val="00"/>
    <w:family w:val="auto"/>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517B8"/>
    <w:multiLevelType w:val="hybridMultilevel"/>
    <w:tmpl w:val="19320C0E"/>
    <w:lvl w:ilvl="0" w:tplc="289E7B34">
      <w:numFmt w:val="bullet"/>
      <w:lvlText w:val="-"/>
      <w:lvlJc w:val="left"/>
      <w:pPr>
        <w:tabs>
          <w:tab w:val="num" w:pos="644"/>
        </w:tabs>
        <w:ind w:left="644" w:hanging="360"/>
      </w:pPr>
      <w:rPr>
        <w:rFonts w:ascii="Times New Roman" w:eastAsia="Times New Roman" w:hAnsi="Times New Roman" w:cs="Times New Roman" w:hint="default"/>
        <w:color w:val="FF000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FA"/>
    <w:rsid w:val="000055FD"/>
    <w:rsid w:val="001130DC"/>
    <w:rsid w:val="00125407"/>
    <w:rsid w:val="00221442"/>
    <w:rsid w:val="00260D45"/>
    <w:rsid w:val="002C5693"/>
    <w:rsid w:val="005064FA"/>
    <w:rsid w:val="005A75FF"/>
    <w:rsid w:val="005B2AD8"/>
    <w:rsid w:val="00606C43"/>
    <w:rsid w:val="00671793"/>
    <w:rsid w:val="0067665C"/>
    <w:rsid w:val="008961A4"/>
    <w:rsid w:val="00904B81"/>
    <w:rsid w:val="00A15655"/>
    <w:rsid w:val="00AB393B"/>
    <w:rsid w:val="00AC5F58"/>
    <w:rsid w:val="00B67B95"/>
    <w:rsid w:val="00B74815"/>
    <w:rsid w:val="00BB0E02"/>
    <w:rsid w:val="00C07115"/>
    <w:rsid w:val="00C86095"/>
    <w:rsid w:val="00CA5EE6"/>
    <w:rsid w:val="00D25138"/>
    <w:rsid w:val="00E7625B"/>
    <w:rsid w:val="00EB66FF"/>
    <w:rsid w:val="00EC387B"/>
    <w:rsid w:val="00EE3F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30DC"/>
    <w:pPr>
      <w:spacing w:after="0" w:line="240" w:lineRule="auto"/>
    </w:pPr>
    <w:rPr>
      <w:rFonts w:ascii="Times New Roman" w:eastAsia="Times New Roman" w:hAnsi="Times New Roman" w:cs="Times New Roman"/>
      <w:i/>
      <w:sz w:val="24"/>
      <w:szCs w:val="20"/>
      <w:lang w:eastAsia="it-IT"/>
    </w:rPr>
  </w:style>
  <w:style w:type="paragraph" w:styleId="Titolo2">
    <w:name w:val="heading 2"/>
    <w:basedOn w:val="Normale"/>
    <w:next w:val="Normale"/>
    <w:link w:val="Titolo2Carattere"/>
    <w:semiHidden/>
    <w:unhideWhenUsed/>
    <w:qFormat/>
    <w:rsid w:val="001130DC"/>
    <w:pPr>
      <w:keepNext/>
      <w:jc w:val="center"/>
      <w:outlineLvl w:val="1"/>
    </w:pPr>
    <w:rPr>
      <w:i w:val="0"/>
      <w:sz w:val="28"/>
    </w:rPr>
  </w:style>
  <w:style w:type="paragraph" w:styleId="Titolo3">
    <w:name w:val="heading 3"/>
    <w:basedOn w:val="Normale"/>
    <w:next w:val="Normale"/>
    <w:link w:val="Titolo3Carattere"/>
    <w:semiHidden/>
    <w:unhideWhenUsed/>
    <w:qFormat/>
    <w:rsid w:val="001130DC"/>
    <w:pPr>
      <w:keepNext/>
      <w:jc w:val="center"/>
      <w:outlineLvl w:val="2"/>
    </w:pPr>
    <w:rPr>
      <w:b/>
      <w:i w:val="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1130DC"/>
    <w:rPr>
      <w:rFonts w:ascii="Times New Roman" w:eastAsia="Times New Roman" w:hAnsi="Times New Roman" w:cs="Times New Roman"/>
      <w:sz w:val="28"/>
      <w:szCs w:val="20"/>
      <w:lang w:eastAsia="it-IT"/>
    </w:rPr>
  </w:style>
  <w:style w:type="character" w:customStyle="1" w:styleId="Titolo3Carattere">
    <w:name w:val="Titolo 3 Carattere"/>
    <w:basedOn w:val="Carpredefinitoparagrafo"/>
    <w:link w:val="Titolo3"/>
    <w:semiHidden/>
    <w:rsid w:val="001130DC"/>
    <w:rPr>
      <w:rFonts w:ascii="Times New Roman" w:eastAsia="Times New Roman" w:hAnsi="Times New Roman" w:cs="Times New Roman"/>
      <w:b/>
      <w:sz w:val="28"/>
      <w:szCs w:val="20"/>
      <w:lang w:eastAsia="it-IT"/>
    </w:rPr>
  </w:style>
  <w:style w:type="paragraph" w:styleId="Paragrafoelenco">
    <w:name w:val="List Paragraph"/>
    <w:basedOn w:val="Normale"/>
    <w:uiPriority w:val="34"/>
    <w:qFormat/>
    <w:rsid w:val="00EC38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30DC"/>
    <w:pPr>
      <w:spacing w:after="0" w:line="240" w:lineRule="auto"/>
    </w:pPr>
    <w:rPr>
      <w:rFonts w:ascii="Times New Roman" w:eastAsia="Times New Roman" w:hAnsi="Times New Roman" w:cs="Times New Roman"/>
      <w:i/>
      <w:sz w:val="24"/>
      <w:szCs w:val="20"/>
      <w:lang w:eastAsia="it-IT"/>
    </w:rPr>
  </w:style>
  <w:style w:type="paragraph" w:styleId="Titolo2">
    <w:name w:val="heading 2"/>
    <w:basedOn w:val="Normale"/>
    <w:next w:val="Normale"/>
    <w:link w:val="Titolo2Carattere"/>
    <w:semiHidden/>
    <w:unhideWhenUsed/>
    <w:qFormat/>
    <w:rsid w:val="001130DC"/>
    <w:pPr>
      <w:keepNext/>
      <w:jc w:val="center"/>
      <w:outlineLvl w:val="1"/>
    </w:pPr>
    <w:rPr>
      <w:i w:val="0"/>
      <w:sz w:val="28"/>
    </w:rPr>
  </w:style>
  <w:style w:type="paragraph" w:styleId="Titolo3">
    <w:name w:val="heading 3"/>
    <w:basedOn w:val="Normale"/>
    <w:next w:val="Normale"/>
    <w:link w:val="Titolo3Carattere"/>
    <w:semiHidden/>
    <w:unhideWhenUsed/>
    <w:qFormat/>
    <w:rsid w:val="001130DC"/>
    <w:pPr>
      <w:keepNext/>
      <w:jc w:val="center"/>
      <w:outlineLvl w:val="2"/>
    </w:pPr>
    <w:rPr>
      <w:b/>
      <w:i w:val="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1130DC"/>
    <w:rPr>
      <w:rFonts w:ascii="Times New Roman" w:eastAsia="Times New Roman" w:hAnsi="Times New Roman" w:cs="Times New Roman"/>
      <w:sz w:val="28"/>
      <w:szCs w:val="20"/>
      <w:lang w:eastAsia="it-IT"/>
    </w:rPr>
  </w:style>
  <w:style w:type="character" w:customStyle="1" w:styleId="Titolo3Carattere">
    <w:name w:val="Titolo 3 Carattere"/>
    <w:basedOn w:val="Carpredefinitoparagrafo"/>
    <w:link w:val="Titolo3"/>
    <w:semiHidden/>
    <w:rsid w:val="001130DC"/>
    <w:rPr>
      <w:rFonts w:ascii="Times New Roman" w:eastAsia="Times New Roman" w:hAnsi="Times New Roman" w:cs="Times New Roman"/>
      <w:b/>
      <w:sz w:val="28"/>
      <w:szCs w:val="20"/>
      <w:lang w:eastAsia="it-IT"/>
    </w:rPr>
  </w:style>
  <w:style w:type="paragraph" w:styleId="Paragrafoelenco">
    <w:name w:val="List Paragraph"/>
    <w:basedOn w:val="Normale"/>
    <w:uiPriority w:val="34"/>
    <w:qFormat/>
    <w:rsid w:val="00EC3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16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3</Pages>
  <Words>847</Words>
  <Characters>4829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Lombardo</dc:creator>
  <cp:lastModifiedBy>Emilio Lombardo</cp:lastModifiedBy>
  <cp:revision>14</cp:revision>
  <cp:lastPrinted>2019-06-05T15:11:00Z</cp:lastPrinted>
  <dcterms:created xsi:type="dcterms:W3CDTF">2019-06-04T13:34:00Z</dcterms:created>
  <dcterms:modified xsi:type="dcterms:W3CDTF">2019-08-01T12:07:00Z</dcterms:modified>
</cp:coreProperties>
</file>